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374"/>
      </w:tblGrid>
      <w:tr w:rsidR="00FC3FD6" w:rsidRPr="002C4DDC" w14:paraId="608C1BF5" w14:textId="77777777" w:rsidTr="703BC511">
        <w:tc>
          <w:tcPr>
            <w:tcW w:w="2376" w:type="dxa"/>
          </w:tcPr>
          <w:p w14:paraId="563D22D7"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Title</w:t>
            </w:r>
          </w:p>
        </w:tc>
        <w:tc>
          <w:tcPr>
            <w:tcW w:w="6838" w:type="dxa"/>
            <w:gridSpan w:val="2"/>
          </w:tcPr>
          <w:p w14:paraId="026E67AD" w14:textId="0EE9EC0A" w:rsidR="005C4D1E" w:rsidRPr="00CA0458" w:rsidRDefault="00CA0458" w:rsidP="703BC511">
            <w:pPr>
              <w:pStyle w:val="NoSpacing"/>
              <w:rPr>
                <w:rFonts w:ascii="Arial" w:hAnsi="Arial" w:cs="Arial"/>
                <w:sz w:val="22"/>
                <w:lang w:val="en-GB"/>
              </w:rPr>
            </w:pPr>
            <w:r>
              <w:rPr>
                <w:rFonts w:ascii="Arial" w:hAnsi="Arial" w:cs="Arial"/>
                <w:sz w:val="22"/>
                <w:lang w:val="en-GB"/>
              </w:rPr>
              <w:t>Nurse Practitioner</w:t>
            </w:r>
          </w:p>
        </w:tc>
      </w:tr>
      <w:tr w:rsidR="00FC3FD6" w:rsidRPr="002C4DDC" w14:paraId="3ACB5188" w14:textId="77777777" w:rsidTr="703BC511">
        <w:tc>
          <w:tcPr>
            <w:tcW w:w="2376" w:type="dxa"/>
          </w:tcPr>
          <w:p w14:paraId="7A19641D"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Reports to</w:t>
            </w:r>
          </w:p>
        </w:tc>
        <w:tc>
          <w:tcPr>
            <w:tcW w:w="6838" w:type="dxa"/>
            <w:gridSpan w:val="2"/>
          </w:tcPr>
          <w:p w14:paraId="3B22A2C6" w14:textId="0A416EF9" w:rsidR="005C4D1E" w:rsidRPr="00CA0458" w:rsidRDefault="00CA0458" w:rsidP="002445E0">
            <w:pPr>
              <w:pStyle w:val="NoSpacing"/>
              <w:rPr>
                <w:rFonts w:ascii="Arial" w:hAnsi="Arial" w:cs="Arial"/>
                <w:color w:val="15284C"/>
                <w:sz w:val="22"/>
              </w:rPr>
            </w:pPr>
            <w:r>
              <w:rPr>
                <w:rFonts w:ascii="Arial" w:hAnsi="Arial" w:cs="Arial"/>
                <w:color w:val="15284C"/>
                <w:sz w:val="22"/>
              </w:rPr>
              <w:t>Charge Nurse Manager, Emergency Department</w:t>
            </w:r>
          </w:p>
        </w:tc>
      </w:tr>
      <w:tr w:rsidR="00FC3FD6" w:rsidRPr="002C4DDC" w14:paraId="17B37BED" w14:textId="77777777" w:rsidTr="703BC511">
        <w:tc>
          <w:tcPr>
            <w:tcW w:w="2376" w:type="dxa"/>
          </w:tcPr>
          <w:p w14:paraId="2503B2D0"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Location</w:t>
            </w:r>
          </w:p>
        </w:tc>
        <w:tc>
          <w:tcPr>
            <w:tcW w:w="6838" w:type="dxa"/>
            <w:gridSpan w:val="2"/>
          </w:tcPr>
          <w:p w14:paraId="19EF9854" w14:textId="1946ED92" w:rsidR="005C4D1E" w:rsidRPr="00CA0458" w:rsidRDefault="00CA0458" w:rsidP="002445E0">
            <w:pPr>
              <w:pStyle w:val="NoSpacing"/>
              <w:rPr>
                <w:rFonts w:ascii="Arial" w:hAnsi="Arial" w:cs="Arial"/>
                <w:color w:val="15284C"/>
                <w:sz w:val="22"/>
              </w:rPr>
            </w:pPr>
            <w:r>
              <w:rPr>
                <w:rFonts w:ascii="Arial" w:hAnsi="Arial" w:cs="Arial"/>
                <w:color w:val="15284C"/>
                <w:sz w:val="22"/>
              </w:rPr>
              <w:t>Timaru Hospital</w:t>
            </w:r>
          </w:p>
        </w:tc>
      </w:tr>
      <w:tr w:rsidR="00FC3FD6" w:rsidRPr="002C4DDC" w14:paraId="0B71D524" w14:textId="77777777" w:rsidTr="703BC511">
        <w:tc>
          <w:tcPr>
            <w:tcW w:w="2376" w:type="dxa"/>
          </w:tcPr>
          <w:p w14:paraId="5BA5E96B"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Department</w:t>
            </w:r>
          </w:p>
        </w:tc>
        <w:tc>
          <w:tcPr>
            <w:tcW w:w="6838" w:type="dxa"/>
            <w:gridSpan w:val="2"/>
          </w:tcPr>
          <w:p w14:paraId="06F8A22A" w14:textId="537D9E11" w:rsidR="005C4D1E" w:rsidRPr="00CA0458" w:rsidRDefault="00CA0458" w:rsidP="002445E0">
            <w:pPr>
              <w:pStyle w:val="NoSpacing"/>
              <w:rPr>
                <w:rFonts w:ascii="Arial" w:hAnsi="Arial" w:cs="Arial"/>
                <w:color w:val="15284C"/>
                <w:sz w:val="22"/>
              </w:rPr>
            </w:pPr>
            <w:r>
              <w:rPr>
                <w:rFonts w:ascii="Arial" w:hAnsi="Arial" w:cs="Arial"/>
                <w:color w:val="15284C"/>
                <w:sz w:val="22"/>
              </w:rPr>
              <w:t>Emergency Department</w:t>
            </w:r>
          </w:p>
        </w:tc>
      </w:tr>
      <w:tr w:rsidR="00FC3FD6" w:rsidRPr="002C4DDC" w14:paraId="10D79DAA" w14:textId="77777777" w:rsidTr="703BC511">
        <w:tc>
          <w:tcPr>
            <w:tcW w:w="2840" w:type="dxa"/>
            <w:gridSpan w:val="2"/>
          </w:tcPr>
          <w:p w14:paraId="26C76E9B"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Date</w:t>
            </w:r>
          </w:p>
        </w:tc>
        <w:tc>
          <w:tcPr>
            <w:tcW w:w="6374" w:type="dxa"/>
          </w:tcPr>
          <w:p w14:paraId="4BEAFC23" w14:textId="42C1FC37" w:rsidR="005C4D1E" w:rsidRPr="00CA0458" w:rsidRDefault="00CA0458" w:rsidP="002445E0">
            <w:pPr>
              <w:pStyle w:val="NoSpacing"/>
              <w:rPr>
                <w:rFonts w:ascii="Arial" w:hAnsi="Arial" w:cs="Arial"/>
                <w:bCs/>
                <w:color w:val="15284C"/>
                <w:sz w:val="22"/>
              </w:rPr>
            </w:pPr>
            <w:r>
              <w:rPr>
                <w:rFonts w:ascii="Arial" w:hAnsi="Arial" w:cs="Arial"/>
                <w:bCs/>
                <w:color w:val="15284C"/>
                <w:sz w:val="22"/>
              </w:rPr>
              <w:t>8 December, 2025</w:t>
            </w:r>
          </w:p>
        </w:tc>
      </w:tr>
      <w:tr w:rsidR="00FC3FD6" w:rsidRPr="002C4DDC" w14:paraId="3C8F8FB8" w14:textId="77777777" w:rsidTr="703BC511">
        <w:tc>
          <w:tcPr>
            <w:tcW w:w="2840" w:type="dxa"/>
            <w:gridSpan w:val="2"/>
          </w:tcPr>
          <w:p w14:paraId="3AC83928" w14:textId="77777777" w:rsidR="005C4D1E" w:rsidRPr="00CA0458" w:rsidRDefault="005C4D1E" w:rsidP="002445E0">
            <w:pPr>
              <w:pStyle w:val="Heading2"/>
              <w:rPr>
                <w:rFonts w:ascii="Arial" w:hAnsi="Arial" w:cs="Arial"/>
                <w:caps w:val="0"/>
                <w:color w:val="15284C"/>
                <w:sz w:val="24"/>
              </w:rPr>
            </w:pPr>
            <w:r w:rsidRPr="00CA0458">
              <w:rPr>
                <w:rFonts w:ascii="Arial" w:hAnsi="Arial" w:cs="Arial"/>
                <w:caps w:val="0"/>
                <w:color w:val="15284C"/>
                <w:sz w:val="24"/>
              </w:rPr>
              <w:t>Job band (indicative)</w:t>
            </w:r>
          </w:p>
        </w:tc>
        <w:tc>
          <w:tcPr>
            <w:tcW w:w="6374" w:type="dxa"/>
          </w:tcPr>
          <w:p w14:paraId="2E45886D" w14:textId="5189ABD0" w:rsidR="005C4D1E" w:rsidRPr="00CA0458" w:rsidRDefault="00CA0458" w:rsidP="002445E0">
            <w:pPr>
              <w:pStyle w:val="NoSpacing"/>
              <w:rPr>
                <w:rFonts w:ascii="Arial" w:hAnsi="Arial" w:cs="Arial"/>
                <w:bCs/>
                <w:color w:val="15284C"/>
                <w:sz w:val="22"/>
              </w:rPr>
            </w:pPr>
            <w:r>
              <w:rPr>
                <w:rFonts w:ascii="Arial" w:hAnsi="Arial" w:cs="Arial"/>
                <w:bCs/>
                <w:color w:val="15284C"/>
                <w:sz w:val="22"/>
              </w:rPr>
              <w:t>NZNO Collective Agreement</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E56226"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E56226"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10081805" w14:textId="2CFB5149" w:rsidR="00CA0458" w:rsidRPr="004C17DF" w:rsidRDefault="00CA0458" w:rsidP="00CA0458">
      <w:pPr>
        <w:spacing w:after="0"/>
        <w:jc w:val="both"/>
        <w:rPr>
          <w:rFonts w:ascii="Arial" w:eastAsia="Times New Roman" w:hAnsi="Arial" w:cs="Arial"/>
          <w:lang w:eastAsia="en-NZ"/>
        </w:rPr>
      </w:pPr>
      <w:r w:rsidRPr="004C17DF">
        <w:rPr>
          <w:rFonts w:ascii="Arial" w:eastAsia="Times New Roman" w:hAnsi="Arial" w:cs="Arial"/>
          <w:lang w:eastAsia="en-NZ"/>
        </w:rPr>
        <w:t>The Emergency</w:t>
      </w:r>
      <w:r w:rsidRPr="004C17DF">
        <w:rPr>
          <w:rFonts w:ascii="Arial" w:eastAsia="Times New Roman" w:hAnsi="Arial" w:cs="Arial"/>
          <w:lang w:eastAsia="en-NZ"/>
        </w:rPr>
        <w:t xml:space="preserve"> Department</w:t>
      </w:r>
      <w:r w:rsidRPr="004C17DF">
        <w:rPr>
          <w:rFonts w:ascii="Arial" w:eastAsia="Times New Roman" w:hAnsi="Arial" w:cs="Arial"/>
          <w:lang w:eastAsia="en-NZ"/>
        </w:rPr>
        <w:t xml:space="preserve"> Nurse Practitioner</w:t>
      </w:r>
      <w:r w:rsidRPr="004C17DF">
        <w:rPr>
          <w:rFonts w:ascii="Arial" w:eastAsia="Times New Roman" w:hAnsi="Arial" w:cs="Arial"/>
          <w:lang w:eastAsia="en-NZ"/>
        </w:rPr>
        <w:t xml:space="preserve"> </w:t>
      </w:r>
      <w:r w:rsidRPr="004C17DF">
        <w:rPr>
          <w:rFonts w:ascii="Arial" w:eastAsia="Times New Roman" w:hAnsi="Arial" w:cs="Arial"/>
          <w:lang w:eastAsia="en-NZ"/>
        </w:rPr>
        <w:t>is an advanced nursing practice role and is responsible for providing specialist nursing care</w:t>
      </w:r>
      <w:r w:rsidRPr="004C17DF">
        <w:rPr>
          <w:rFonts w:ascii="Arial" w:eastAsia="Times New Roman" w:hAnsi="Arial" w:cs="Arial"/>
          <w:lang w:eastAsia="en-NZ"/>
        </w:rPr>
        <w:t xml:space="preserve"> for the presenting patients.  The Nurse Practitioner applies critical reasoning and professional judgement to provide direct c</w:t>
      </w:r>
      <w:r w:rsidR="004C17DF" w:rsidRPr="004C17DF">
        <w:rPr>
          <w:rFonts w:ascii="Arial" w:eastAsia="Times New Roman" w:hAnsi="Arial" w:cs="Arial"/>
          <w:lang w:eastAsia="en-NZ"/>
        </w:rPr>
        <w:t xml:space="preserve">are using advanced nursing knowledge and skills to implement care assessment, care plans, treatment intervention and evaluation of patient/family/whanau health needs. The Nurse Practitioner works within an effective and collaborative multi-disciplinary team. </w:t>
      </w:r>
    </w:p>
    <w:p w14:paraId="218E2FF1" w14:textId="77777777" w:rsidR="00CA0458" w:rsidRPr="004C17DF" w:rsidRDefault="00CA0458" w:rsidP="00CA0458">
      <w:pPr>
        <w:spacing w:after="0"/>
        <w:jc w:val="both"/>
        <w:rPr>
          <w:rFonts w:ascii="Arial" w:eastAsia="Times New Roman" w:hAnsi="Arial" w:cs="Arial"/>
          <w:lang w:eastAsia="en-NZ"/>
        </w:rPr>
      </w:pPr>
    </w:p>
    <w:p w14:paraId="66D1E5E6" w14:textId="02911094" w:rsidR="00CA0458" w:rsidRPr="004C17DF" w:rsidRDefault="00CA0458" w:rsidP="00CA0458">
      <w:pPr>
        <w:spacing w:after="0"/>
        <w:jc w:val="both"/>
        <w:rPr>
          <w:rFonts w:ascii="Arial" w:eastAsia="Times New Roman" w:hAnsi="Arial" w:cs="Arial"/>
          <w:lang w:eastAsia="en-NZ"/>
        </w:rPr>
      </w:pPr>
      <w:r w:rsidRPr="004C17DF">
        <w:rPr>
          <w:rFonts w:ascii="Arial" w:eastAsia="Times New Roman" w:hAnsi="Arial" w:cs="Arial"/>
          <w:lang w:eastAsia="en-NZ"/>
        </w:rPr>
        <w:t xml:space="preserve">As a senior nurse, this role also has a responsibility for improving the quality of professional nursing practice and high standards of care in </w:t>
      </w:r>
      <w:r w:rsidR="004C17DF" w:rsidRPr="004C17DF">
        <w:rPr>
          <w:rFonts w:ascii="Arial" w:eastAsia="Times New Roman" w:hAnsi="Arial" w:cs="Arial"/>
          <w:lang w:eastAsia="en-NZ"/>
        </w:rPr>
        <w:t xml:space="preserve">South Canterbury </w:t>
      </w:r>
      <w:r w:rsidRPr="004C17DF">
        <w:rPr>
          <w:rFonts w:ascii="Arial" w:eastAsia="Times New Roman" w:hAnsi="Arial" w:cs="Arial"/>
          <w:lang w:eastAsia="en-NZ"/>
        </w:rPr>
        <w:t>by supporting an environment in which excellence in clinical care</w:t>
      </w:r>
      <w:r w:rsidR="004C17DF">
        <w:rPr>
          <w:rFonts w:ascii="Arial" w:eastAsia="Times New Roman" w:hAnsi="Arial" w:cs="Arial"/>
          <w:lang w:eastAsia="en-NZ"/>
        </w:rPr>
        <w:t xml:space="preserve"> and equity of health outcomes</w:t>
      </w:r>
      <w:r w:rsidRPr="004C17DF">
        <w:rPr>
          <w:rFonts w:ascii="Arial" w:eastAsia="Times New Roman" w:hAnsi="Arial" w:cs="Arial"/>
          <w:lang w:eastAsia="en-NZ"/>
        </w:rPr>
        <w:t xml:space="preserve"> can flourish.  </w:t>
      </w: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4C17DF">
        <w:tc>
          <w:tcPr>
            <w:tcW w:w="1985" w:type="dxa"/>
            <w:tcBorders>
              <w:top w:val="single" w:sz="4" w:space="0" w:color="D9D9D9"/>
              <w:bottom w:val="single" w:sz="4" w:space="0" w:color="D9D9D9"/>
              <w:right w:val="single" w:sz="4" w:space="0" w:color="D9D9D9"/>
            </w:tcBorders>
          </w:tcPr>
          <w:p w14:paraId="02BC8E04" w14:textId="77777777" w:rsidR="00DF3A52" w:rsidRPr="0093538E" w:rsidRDefault="00DF3A52" w:rsidP="00B9274B">
            <w:pPr>
              <w:pStyle w:val="Heading2"/>
              <w:rPr>
                <w:rFonts w:ascii="Arial" w:hAnsi="Arial" w:cs="Arial"/>
                <w:b w:val="0"/>
                <w:bCs/>
                <w:color w:val="15284C"/>
                <w:sz w:val="22"/>
                <w:szCs w:val="22"/>
              </w:rPr>
            </w:pPr>
            <w:r w:rsidRPr="0093538E">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4C17DF">
        <w:tc>
          <w:tcPr>
            <w:tcW w:w="1985" w:type="dxa"/>
            <w:tcBorders>
              <w:top w:val="single" w:sz="4" w:space="0" w:color="D9D9D9"/>
              <w:bottom w:val="single" w:sz="4" w:space="0" w:color="D9D9D9"/>
              <w:right w:val="single" w:sz="4" w:space="0" w:color="D9D9D9"/>
            </w:tcBorders>
          </w:tcPr>
          <w:p w14:paraId="658BAC0B" w14:textId="72371D94" w:rsidR="00DF3A52" w:rsidRPr="0093538E" w:rsidRDefault="004C17DF" w:rsidP="00B9274B">
            <w:pPr>
              <w:spacing w:after="0" w:line="240" w:lineRule="auto"/>
              <w:rPr>
                <w:rFonts w:ascii="Arial" w:hAnsi="Arial" w:cs="Arial"/>
                <w:b/>
                <w:bCs/>
              </w:rPr>
            </w:pPr>
            <w:r w:rsidRPr="0093538E">
              <w:rPr>
                <w:rFonts w:ascii="Arial" w:hAnsi="Arial" w:cs="Arial"/>
                <w:b/>
                <w:bCs/>
              </w:rPr>
              <w:t>Demonstrates Clinical and Professional leadership</w:t>
            </w:r>
          </w:p>
        </w:tc>
        <w:tc>
          <w:tcPr>
            <w:tcW w:w="7041" w:type="dxa"/>
            <w:tcBorders>
              <w:top w:val="single" w:sz="4" w:space="0" w:color="D9D9D9"/>
              <w:left w:val="single" w:sz="4" w:space="0" w:color="D9D9D9"/>
              <w:bottom w:val="single" w:sz="4" w:space="0" w:color="D9D9D9"/>
            </w:tcBorders>
          </w:tcPr>
          <w:p w14:paraId="5B7BF6E4"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Applies critical reasoning and professional judgement to nursing practice issues / decisions. </w:t>
            </w:r>
          </w:p>
          <w:p w14:paraId="3DBB6630"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Fosters the provision of positive patient / client outcomes and person-centred care.</w:t>
            </w:r>
          </w:p>
          <w:p w14:paraId="594C25B7"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Contributes to the development of integrated service delivery across the continuum of care. </w:t>
            </w:r>
          </w:p>
          <w:p w14:paraId="594FB4FF"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Identifies situations of clinical and organisational risk and take appropriate actions to ensure a safe environment for patients / clients, families / whānau and staff.</w:t>
            </w:r>
          </w:p>
          <w:p w14:paraId="120885E7" w14:textId="0400F128"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Role models and enhances advanced nursing practice and contributes to the development of the profession locally, regionally and nationally.</w:t>
            </w:r>
            <w:r w:rsidRPr="0093538E">
              <w:rPr>
                <w:rFonts w:ascii="Arial" w:eastAsia="Times New Roman" w:hAnsi="Arial" w:cs="Arial"/>
                <w:lang w:eastAsia="en-NZ"/>
              </w:rPr>
              <w:t xml:space="preserve"> </w:t>
            </w:r>
            <w:r w:rsidRPr="0093538E">
              <w:rPr>
                <w:rFonts w:ascii="Arial" w:eastAsia="Times New Roman" w:hAnsi="Arial" w:cs="Arial"/>
                <w:lang w:eastAsia="en-NZ"/>
              </w:rPr>
              <w:t>Maintains and develops own clinical expertise and knowledge in specialty nursing practice.</w:t>
            </w:r>
          </w:p>
          <w:p w14:paraId="6C05A3F7"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Participates in professional supervision as required. </w:t>
            </w:r>
          </w:p>
          <w:p w14:paraId="61DF7A78" w14:textId="6FF720B1"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Maintains professional portfolio and annual practice registration </w:t>
            </w:r>
          </w:p>
          <w:p w14:paraId="556A33A5"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Manages and provides leadership in complex situations and models expert skills within the clinical practice area.</w:t>
            </w:r>
          </w:p>
          <w:p w14:paraId="664C29EA"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Leads professional conduct by example. </w:t>
            </w:r>
          </w:p>
          <w:p w14:paraId="12F0E235"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Undertakes or leads specific service or organisational portfolio responsibilities as required.</w:t>
            </w:r>
          </w:p>
          <w:p w14:paraId="3E22C9D2" w14:textId="77777777" w:rsidR="004C17DF" w:rsidRPr="0093538E" w:rsidRDefault="004C17DF" w:rsidP="004C17DF">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Contributes to strategies that facilitate nursing recruitment, retention and succession planning. </w:t>
            </w:r>
          </w:p>
          <w:p w14:paraId="3A541C34" w14:textId="680B90DC" w:rsidR="00DF3A52" w:rsidRPr="000B3E62" w:rsidRDefault="00DF3A52" w:rsidP="004C17DF">
            <w:pPr>
              <w:pStyle w:val="ListParagraph"/>
              <w:spacing w:after="0" w:line="240" w:lineRule="auto"/>
              <w:contextualSpacing w:val="0"/>
              <w:jc w:val="both"/>
              <w:rPr>
                <w:rFonts w:ascii="Arial" w:eastAsia="Segoe UI" w:hAnsi="Arial" w:cs="Arial"/>
                <w:highlight w:val="yellow"/>
              </w:rPr>
            </w:pPr>
          </w:p>
        </w:tc>
      </w:tr>
      <w:tr w:rsidR="00DF3A52" w:rsidRPr="002C4DDC" w14:paraId="2E6371D1" w14:textId="77777777" w:rsidTr="004C17DF">
        <w:tc>
          <w:tcPr>
            <w:tcW w:w="1985" w:type="dxa"/>
            <w:tcBorders>
              <w:top w:val="single" w:sz="4" w:space="0" w:color="D9D9D9"/>
              <w:bottom w:val="single" w:sz="4" w:space="0" w:color="D9D9D9"/>
              <w:right w:val="single" w:sz="4" w:space="0" w:color="D9D9D9"/>
            </w:tcBorders>
          </w:tcPr>
          <w:p w14:paraId="2BDC40A9" w14:textId="77777777" w:rsidR="004C17DF" w:rsidRPr="0093538E" w:rsidRDefault="004C17DF" w:rsidP="0093538E">
            <w:pPr>
              <w:spacing w:after="0" w:line="240" w:lineRule="auto"/>
              <w:rPr>
                <w:rFonts w:ascii="Arial" w:hAnsi="Arial" w:cs="Arial"/>
                <w:b/>
                <w:bCs/>
              </w:rPr>
            </w:pPr>
            <w:r w:rsidRPr="0093538E">
              <w:rPr>
                <w:rFonts w:ascii="Arial" w:hAnsi="Arial" w:cs="Arial"/>
                <w:b/>
                <w:bCs/>
              </w:rPr>
              <w:t>Patient care management / care coordination</w:t>
            </w:r>
          </w:p>
          <w:p w14:paraId="4C2EF6AA" w14:textId="77777777" w:rsidR="00DF3A52" w:rsidRPr="002C4DDC" w:rsidRDefault="00DF3A52" w:rsidP="004C17DF">
            <w:pPr>
              <w:spacing w:after="0" w:line="240" w:lineRule="auto"/>
              <w:ind w:firstLine="720"/>
              <w:rPr>
                <w:rFonts w:ascii="Arial" w:hAnsi="Arial" w:cs="Arial"/>
                <w:b/>
                <w:bCs/>
              </w:rPr>
            </w:pPr>
          </w:p>
        </w:tc>
        <w:tc>
          <w:tcPr>
            <w:tcW w:w="7041" w:type="dxa"/>
            <w:tcBorders>
              <w:top w:val="single" w:sz="4" w:space="0" w:color="D9D9D9"/>
              <w:left w:val="single" w:sz="4" w:space="0" w:color="D9D9D9"/>
              <w:bottom w:val="single" w:sz="4" w:space="0" w:color="D9D9D9"/>
            </w:tcBorders>
          </w:tcPr>
          <w:p w14:paraId="28B4681E" w14:textId="77777777" w:rsidR="004C17DF" w:rsidRPr="00507ED9" w:rsidRDefault="004C17DF" w:rsidP="004C17DF">
            <w:pPr>
              <w:spacing w:before="50" w:after="50"/>
              <w:rPr>
                <w:b/>
              </w:rPr>
            </w:pPr>
            <w:r w:rsidRPr="00507ED9">
              <w:rPr>
                <w:b/>
              </w:rPr>
              <w:t>Patient care management / care coordination</w:t>
            </w:r>
          </w:p>
          <w:p w14:paraId="2C0B2276"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Provides direct care and uses advanced nursing knowledge and skills to assess, plan, implement and evaluate patients / clients / family / whānau health needs.</w:t>
            </w:r>
          </w:p>
          <w:p w14:paraId="4235E15C"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Works in a multidisciplinary manner with rest of CED team and other Child Health providers</w:t>
            </w:r>
          </w:p>
          <w:p w14:paraId="28134DC1"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Facilitates effective discharge planning and/or referral processes to health care providers and support agencies to meet identified health needs.</w:t>
            </w:r>
          </w:p>
          <w:p w14:paraId="079ABBF5"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Monitors clinical outcomes / indicators and manages variance to clinical pathway, protocols or best practice guidelines. </w:t>
            </w:r>
          </w:p>
          <w:p w14:paraId="56296D7C"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Educates and provides information to patients / clients / family / whānau to improve knowledge of disease / illness, self-management, prevention of complications and promotion of recovery. </w:t>
            </w:r>
          </w:p>
          <w:p w14:paraId="0E5A12D4"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Identifies barriers and solutions to access for patient / client, family or whānau. </w:t>
            </w:r>
          </w:p>
          <w:p w14:paraId="30910E42"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Accurately documents assessments of patients / </w:t>
            </w:r>
            <w:proofErr w:type="gramStart"/>
            <w:r w:rsidRPr="0093538E">
              <w:rPr>
                <w:rFonts w:ascii="Arial" w:eastAsia="Times New Roman" w:hAnsi="Arial" w:cs="Arial"/>
                <w:lang w:eastAsia="en-NZ"/>
              </w:rPr>
              <w:t>clients</w:t>
            </w:r>
            <w:proofErr w:type="gramEnd"/>
            <w:r w:rsidRPr="0093538E">
              <w:rPr>
                <w:rFonts w:ascii="Arial" w:eastAsia="Times New Roman" w:hAnsi="Arial" w:cs="Arial"/>
                <w:lang w:eastAsia="en-NZ"/>
              </w:rPr>
              <w:t xml:space="preserve"> health status, diagnosis and decisions made regarding interventions and referrals or follow-up.</w:t>
            </w:r>
          </w:p>
          <w:p w14:paraId="47DCB924"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Participates in case review and debriefing activities as required.  </w:t>
            </w:r>
          </w:p>
          <w:p w14:paraId="79B778A2" w14:textId="77777777" w:rsidR="004C17DF" w:rsidRPr="00507ED9" w:rsidRDefault="004C17DF" w:rsidP="004C17DF">
            <w:pPr>
              <w:spacing w:before="50" w:after="50"/>
              <w:rPr>
                <w:b/>
              </w:rPr>
            </w:pPr>
            <w:r w:rsidRPr="00507ED9">
              <w:rPr>
                <w:b/>
              </w:rPr>
              <w:t>Prescribes interventions, appliances, treatments and authorised medicines within the scope of practice</w:t>
            </w:r>
          </w:p>
          <w:p w14:paraId="0E9BE7E6"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Prescribes and administers medications within legislation, codes, scope of practice and according to the organisations established prescribing process and guidelines. </w:t>
            </w:r>
          </w:p>
          <w:p w14:paraId="0E1C1E93"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Uses professional judgement to prescribe.</w:t>
            </w:r>
          </w:p>
          <w:p w14:paraId="67CDB3D5"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Understands the regulatory framework associated with prescribing including the legislation, contractual environment, subsides, professional ethics and the roles of key government agencies.  </w:t>
            </w:r>
          </w:p>
          <w:p w14:paraId="5978E8B0"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Performs and monitors therapeutic procedures as indicated by patients’ diagnosis/condition.</w:t>
            </w:r>
          </w:p>
          <w:p w14:paraId="40B9AE60" w14:textId="0E83A0E0" w:rsidR="00DF3A52" w:rsidRPr="000B3E62" w:rsidRDefault="004C17DF" w:rsidP="0093538E">
            <w:pPr>
              <w:pStyle w:val="ListParagraph"/>
              <w:numPr>
                <w:ilvl w:val="0"/>
                <w:numId w:val="19"/>
              </w:numPr>
              <w:spacing w:after="0" w:line="240" w:lineRule="auto"/>
              <w:jc w:val="both"/>
              <w:rPr>
                <w:rFonts w:ascii="Arial" w:eastAsia="Segoe UI" w:hAnsi="Arial" w:cs="Arial"/>
                <w:highlight w:val="yellow"/>
              </w:rPr>
            </w:pPr>
            <w:r w:rsidRPr="0093538E">
              <w:rPr>
                <w:rFonts w:ascii="Arial" w:eastAsia="Times New Roman" w:hAnsi="Arial" w:cs="Arial"/>
                <w:lang w:eastAsia="en-NZ"/>
              </w:rPr>
              <w:t>Orders, interprets and evaluates diagnosis tests to identify and assess patients’ clinical problems and health care needs.</w:t>
            </w:r>
          </w:p>
        </w:tc>
      </w:tr>
      <w:tr w:rsidR="00DF3A52" w:rsidRPr="002C4DDC" w14:paraId="68FEAEBD" w14:textId="77777777" w:rsidTr="004C17DF">
        <w:tc>
          <w:tcPr>
            <w:tcW w:w="1985" w:type="dxa"/>
            <w:tcBorders>
              <w:top w:val="single" w:sz="4" w:space="0" w:color="D9D9D9"/>
              <w:bottom w:val="single" w:sz="4" w:space="0" w:color="D9D9D9"/>
              <w:right w:val="single" w:sz="4" w:space="0" w:color="D9D9D9"/>
            </w:tcBorders>
          </w:tcPr>
          <w:p w14:paraId="60C000A5" w14:textId="77777777" w:rsidR="004C17DF" w:rsidRPr="0093538E" w:rsidRDefault="004C17DF" w:rsidP="0093538E">
            <w:pPr>
              <w:spacing w:after="0" w:line="240" w:lineRule="auto"/>
              <w:rPr>
                <w:rFonts w:ascii="Arial" w:hAnsi="Arial" w:cs="Arial"/>
                <w:b/>
                <w:bCs/>
              </w:rPr>
            </w:pPr>
            <w:r w:rsidRPr="0093538E">
              <w:rPr>
                <w:rFonts w:ascii="Arial" w:hAnsi="Arial" w:cs="Arial"/>
                <w:b/>
                <w:bCs/>
              </w:rPr>
              <w:t>Education and clinical teaching</w:t>
            </w:r>
          </w:p>
          <w:p w14:paraId="381229B4" w14:textId="77777777" w:rsidR="00DF3A52" w:rsidRPr="002C4DDC" w:rsidRDefault="00DF3A52" w:rsidP="004C17DF">
            <w:pPr>
              <w:spacing w:after="0" w:line="240" w:lineRule="auto"/>
              <w:ind w:firstLine="720"/>
              <w:rPr>
                <w:rFonts w:ascii="Arial" w:hAnsi="Arial" w:cs="Arial"/>
                <w:b/>
                <w:bCs/>
              </w:rPr>
            </w:pPr>
          </w:p>
        </w:tc>
        <w:tc>
          <w:tcPr>
            <w:tcW w:w="7041" w:type="dxa"/>
            <w:tcBorders>
              <w:top w:val="single" w:sz="4" w:space="0" w:color="D9D9D9"/>
              <w:left w:val="single" w:sz="4" w:space="0" w:color="D9D9D9"/>
              <w:bottom w:val="single" w:sz="4" w:space="0" w:color="D9D9D9"/>
            </w:tcBorders>
          </w:tcPr>
          <w:p w14:paraId="5A15B4C7"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Education and clinical teaching</w:t>
            </w:r>
          </w:p>
          <w:p w14:paraId="0DC51E26"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Demonstrates skilled mentoring/coaching, teaching and supervision of nursing staff and other health professionals.</w:t>
            </w:r>
          </w:p>
          <w:p w14:paraId="5E2241D7"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 xml:space="preserve">Acts as a nursing resource providing expert advice and education to nursing staff and other health care professionals/family/whānau within scope of speciality practice. </w:t>
            </w:r>
          </w:p>
          <w:p w14:paraId="2BD6C2DF" w14:textId="4B7F271D" w:rsidR="00DF3A52"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Identifies and supports staff education and professional development based on knowledge of service needs and aligned with strategic direction.</w:t>
            </w:r>
          </w:p>
        </w:tc>
      </w:tr>
      <w:tr w:rsidR="00DF3A52" w:rsidRPr="002C4DDC" w14:paraId="28D7EA44" w14:textId="77777777" w:rsidTr="004C17DF">
        <w:tc>
          <w:tcPr>
            <w:tcW w:w="1985" w:type="dxa"/>
            <w:tcBorders>
              <w:top w:val="single" w:sz="4" w:space="0" w:color="D9D9D9"/>
              <w:bottom w:val="single" w:sz="4" w:space="0" w:color="D9D9D9"/>
              <w:right w:val="single" w:sz="4" w:space="0" w:color="D9D9D9"/>
            </w:tcBorders>
          </w:tcPr>
          <w:p w14:paraId="13553C0E" w14:textId="77777777" w:rsidR="004C17DF" w:rsidRPr="0093538E" w:rsidRDefault="004C17DF" w:rsidP="0093538E">
            <w:pPr>
              <w:spacing w:after="0" w:line="240" w:lineRule="auto"/>
              <w:rPr>
                <w:rFonts w:ascii="Arial" w:hAnsi="Arial" w:cs="Arial"/>
                <w:b/>
                <w:bCs/>
              </w:rPr>
            </w:pPr>
            <w:r w:rsidRPr="0093538E">
              <w:rPr>
                <w:rFonts w:ascii="Arial" w:hAnsi="Arial" w:cs="Arial"/>
                <w:b/>
                <w:bCs/>
              </w:rPr>
              <w:t>Continuous quality improvement</w:t>
            </w:r>
          </w:p>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1AA5C608"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Fosters inquiry, critical thinking and research skill acquisition among the nursing workforce to advance nursing practice and patient / client care.</w:t>
            </w:r>
          </w:p>
          <w:p w14:paraId="64AAD2E2"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Works to ensure that recommended best practice guidelines / policies are research based and relevant across the organisation.</w:t>
            </w:r>
          </w:p>
          <w:p w14:paraId="7C9BB3C0"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Evaluates the effectiveness, efficiency and safety of clinical practice.</w:t>
            </w:r>
          </w:p>
          <w:p w14:paraId="7C4BBF50" w14:textId="77777777" w:rsidR="004C17DF" w:rsidRPr="0093538E" w:rsidRDefault="004C17DF" w:rsidP="0093538E">
            <w:pPr>
              <w:pStyle w:val="ListParagraph"/>
              <w:numPr>
                <w:ilvl w:val="0"/>
                <w:numId w:val="19"/>
              </w:numPr>
              <w:spacing w:after="0" w:line="240" w:lineRule="auto"/>
              <w:jc w:val="both"/>
              <w:rPr>
                <w:rFonts w:ascii="Arial" w:eastAsia="Times New Roman" w:hAnsi="Arial" w:cs="Arial"/>
                <w:lang w:eastAsia="en-NZ"/>
              </w:rPr>
            </w:pPr>
            <w:r w:rsidRPr="0093538E">
              <w:rPr>
                <w:rFonts w:ascii="Arial" w:eastAsia="Times New Roman" w:hAnsi="Arial" w:cs="Arial"/>
                <w:lang w:eastAsia="en-NZ"/>
              </w:rPr>
              <w:t>Contributes to projects and research that enhance the clinical implementation of evidence-based practice</w:t>
            </w:r>
          </w:p>
          <w:p w14:paraId="6242698B" w14:textId="00F755EE" w:rsidR="00DF3A52" w:rsidRPr="0093538E" w:rsidRDefault="004C17DF" w:rsidP="0093538E">
            <w:pPr>
              <w:pStyle w:val="ListParagraph"/>
              <w:numPr>
                <w:ilvl w:val="0"/>
                <w:numId w:val="19"/>
              </w:numPr>
              <w:spacing w:after="0" w:line="240" w:lineRule="auto"/>
              <w:contextualSpacing w:val="0"/>
              <w:jc w:val="both"/>
              <w:rPr>
                <w:rFonts w:ascii="Arial" w:eastAsia="Times New Roman" w:hAnsi="Arial" w:cs="Arial"/>
                <w:lang w:eastAsia="en-NZ"/>
              </w:rPr>
            </w:pPr>
            <w:r w:rsidRPr="0093538E">
              <w:rPr>
                <w:rFonts w:ascii="Arial" w:eastAsia="Times New Roman" w:hAnsi="Arial" w:cs="Arial"/>
                <w:lang w:eastAsia="en-NZ"/>
              </w:rPr>
              <w:t>Demonstrates commitment to quality improvements, risk management and resource utilisation</w:t>
            </w:r>
          </w:p>
        </w:tc>
      </w:tr>
      <w:tr w:rsidR="00DF3A52" w:rsidRPr="002C4DDC" w14:paraId="346EA7D3" w14:textId="77777777" w:rsidTr="004C17DF">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4C17DF">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4C17DF">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4C17DF">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4C17DF">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4C17DF">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709B21CC" w:rsidR="00DF3A52"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Matters which must be referred to the</w:t>
      </w:r>
      <w:r w:rsidR="0093538E">
        <w:rPr>
          <w:rFonts w:ascii="Arial" w:hAnsi="Arial" w:cs="Arial"/>
          <w:caps w:val="0"/>
          <w:color w:val="15284C"/>
          <w:sz w:val="22"/>
          <w:szCs w:val="22"/>
        </w:rPr>
        <w:t xml:space="preserve"> Emergency Department Charge Nurse Manager</w:t>
      </w:r>
    </w:p>
    <w:p w14:paraId="46F511DE" w14:textId="77777777" w:rsidR="0093538E" w:rsidRDefault="0093538E"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Organisational or Departmental Risk</w:t>
      </w:r>
    </w:p>
    <w:p w14:paraId="449EDCCF" w14:textId="77777777" w:rsidR="0093538E" w:rsidRDefault="0093538E"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Issues of professional or clinical concern</w:t>
      </w:r>
    </w:p>
    <w:p w14:paraId="3AF35E39" w14:textId="4507E7FB" w:rsidR="00DF3A52" w:rsidRDefault="0093538E"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Patient incidents, harm or near miss events</w:t>
      </w:r>
    </w:p>
    <w:p w14:paraId="5D3C414C" w14:textId="77777777" w:rsidR="0093538E" w:rsidRPr="0093538E" w:rsidRDefault="0093538E" w:rsidP="0093538E">
      <w:pPr>
        <w:pStyle w:val="ListParagraph"/>
        <w:spacing w:after="0" w:line="240" w:lineRule="auto"/>
        <w:contextualSpacing w:val="0"/>
        <w:jc w:val="both"/>
        <w:rPr>
          <w:rFonts w:ascii="Arial" w:eastAsia="Segoe UI" w:hAnsi="Arial" w:cs="Arial"/>
        </w:rPr>
      </w:pP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27C61F46" w14:textId="51CF99CA"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Other D</w:t>
            </w:r>
            <w:r>
              <w:rPr>
                <w:rFonts w:cs="Arial"/>
                <w:sz w:val="20"/>
              </w:rPr>
              <w:t>istricts</w:t>
            </w:r>
          </w:p>
          <w:p w14:paraId="76AA9492"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Primary health care providers</w:t>
            </w:r>
          </w:p>
          <w:p w14:paraId="2B402E83" w14:textId="5CCBBBDB" w:rsidR="0093538E" w:rsidRPr="00944231" w:rsidRDefault="0093538E" w:rsidP="0093538E">
            <w:pPr>
              <w:pStyle w:val="ListParagraph"/>
              <w:numPr>
                <w:ilvl w:val="0"/>
                <w:numId w:val="17"/>
              </w:numPr>
              <w:spacing w:after="0" w:line="240" w:lineRule="auto"/>
              <w:rPr>
                <w:rFonts w:cs="Arial"/>
                <w:sz w:val="20"/>
              </w:rPr>
            </w:pPr>
            <w:r>
              <w:rPr>
                <w:rFonts w:cs="Arial"/>
                <w:sz w:val="20"/>
              </w:rPr>
              <w:t>T</w:t>
            </w:r>
            <w:r w:rsidRPr="00944231">
              <w:rPr>
                <w:rFonts w:cs="Arial"/>
                <w:sz w:val="20"/>
              </w:rPr>
              <w:t>ertiary education providers</w:t>
            </w:r>
          </w:p>
          <w:p w14:paraId="58451747"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NZ Nursing Council</w:t>
            </w:r>
          </w:p>
          <w:p w14:paraId="6D9AE7C4"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Professional bodies &amp; associations</w:t>
            </w:r>
          </w:p>
          <w:p w14:paraId="6ABA3666"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Health and social support agencies</w:t>
            </w:r>
          </w:p>
          <w:p w14:paraId="5822A3CD" w14:textId="77777777" w:rsidR="00DF3A52" w:rsidRDefault="0093538E" w:rsidP="0093538E">
            <w:pPr>
              <w:pStyle w:val="ListParagraph"/>
              <w:numPr>
                <w:ilvl w:val="0"/>
                <w:numId w:val="17"/>
              </w:numPr>
              <w:spacing w:after="0" w:line="240" w:lineRule="auto"/>
              <w:rPr>
                <w:rFonts w:cs="Arial"/>
                <w:sz w:val="20"/>
              </w:rPr>
            </w:pPr>
            <w:r w:rsidRPr="00944231">
              <w:rPr>
                <w:rFonts w:cs="Arial"/>
                <w:sz w:val="20"/>
              </w:rPr>
              <w:t xml:space="preserve">Consumer advocates &amp; agencies </w:t>
            </w:r>
            <w:r>
              <w:rPr>
                <w:rFonts w:cs="Arial"/>
                <w:sz w:val="20"/>
              </w:rPr>
              <w:t>[insert external relationships]</w:t>
            </w:r>
            <w:r w:rsidRPr="008273BB">
              <w:rPr>
                <w:rFonts w:cs="Arial"/>
                <w:sz w:val="20"/>
              </w:rPr>
              <w:t xml:space="preserve"> </w:t>
            </w:r>
          </w:p>
          <w:p w14:paraId="6E41FADB" w14:textId="77777777" w:rsidR="0093538E" w:rsidRDefault="0093538E" w:rsidP="0093538E">
            <w:pPr>
              <w:pStyle w:val="ListParagraph"/>
              <w:numPr>
                <w:ilvl w:val="0"/>
                <w:numId w:val="17"/>
              </w:numPr>
              <w:spacing w:after="0" w:line="240" w:lineRule="auto"/>
              <w:rPr>
                <w:rFonts w:cs="Arial"/>
                <w:sz w:val="20"/>
              </w:rPr>
            </w:pPr>
            <w:r>
              <w:rPr>
                <w:rFonts w:cs="Arial"/>
                <w:sz w:val="20"/>
              </w:rPr>
              <w:t>Aged Care Providers</w:t>
            </w:r>
          </w:p>
          <w:p w14:paraId="2B550522" w14:textId="5BBF3ADA" w:rsidR="0093538E" w:rsidRPr="0093538E" w:rsidRDefault="0093538E" w:rsidP="0093538E">
            <w:pPr>
              <w:pStyle w:val="ListParagraph"/>
              <w:numPr>
                <w:ilvl w:val="0"/>
                <w:numId w:val="17"/>
              </w:numPr>
              <w:spacing w:after="0" w:line="240" w:lineRule="auto"/>
              <w:rPr>
                <w:rFonts w:cs="Arial"/>
                <w:sz w:val="20"/>
              </w:rPr>
            </w:pPr>
            <w:proofErr w:type="spellStart"/>
            <w:r>
              <w:rPr>
                <w:rFonts w:cs="Arial"/>
                <w:sz w:val="20"/>
              </w:rPr>
              <w:t>Comissioned</w:t>
            </w:r>
            <w:proofErr w:type="spellEnd"/>
            <w:r>
              <w:rPr>
                <w:rFonts w:cs="Arial"/>
                <w:sz w:val="20"/>
              </w:rPr>
              <w:t xml:space="preserve"> or NGO health care providers</w:t>
            </w:r>
          </w:p>
        </w:tc>
        <w:tc>
          <w:tcPr>
            <w:tcW w:w="4412" w:type="dxa"/>
          </w:tcPr>
          <w:p w14:paraId="0653DC52"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Nursing &amp; midwifery workforce</w:t>
            </w:r>
          </w:p>
          <w:p w14:paraId="5A37F88D"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Other senior nurses</w:t>
            </w:r>
          </w:p>
          <w:p w14:paraId="30470CFE"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Nursing &amp; Midwifery Leadership</w:t>
            </w:r>
          </w:p>
          <w:p w14:paraId="30CA48F6"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Professional Development Advisor</w:t>
            </w:r>
          </w:p>
          <w:p w14:paraId="5B5DD34B"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Centre for Evidenced-based Nursing Aotearoa (CEBNA)</w:t>
            </w:r>
          </w:p>
          <w:p w14:paraId="397FBA7D"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Clinical Leader(s) &amp; Directors</w:t>
            </w:r>
          </w:p>
          <w:p w14:paraId="742229DE" w14:textId="77777777" w:rsidR="0093538E" w:rsidRPr="00944231" w:rsidRDefault="0093538E" w:rsidP="0093538E">
            <w:pPr>
              <w:pStyle w:val="ListParagraph"/>
              <w:numPr>
                <w:ilvl w:val="0"/>
                <w:numId w:val="17"/>
              </w:numPr>
              <w:spacing w:after="0" w:line="240" w:lineRule="auto"/>
              <w:rPr>
                <w:rFonts w:cs="Arial"/>
                <w:sz w:val="20"/>
              </w:rPr>
            </w:pPr>
            <w:r w:rsidRPr="00944231">
              <w:rPr>
                <w:rFonts w:cs="Arial"/>
                <w:sz w:val="20"/>
              </w:rPr>
              <w:t>Senior management</w:t>
            </w:r>
          </w:p>
          <w:p w14:paraId="5156038E" w14:textId="77777777" w:rsidR="00DF3A52" w:rsidRDefault="0093538E" w:rsidP="0093538E">
            <w:pPr>
              <w:pStyle w:val="ListParagraph"/>
              <w:numPr>
                <w:ilvl w:val="0"/>
                <w:numId w:val="17"/>
              </w:numPr>
              <w:spacing w:after="0" w:line="240" w:lineRule="auto"/>
              <w:rPr>
                <w:rFonts w:cs="Arial"/>
                <w:sz w:val="20"/>
              </w:rPr>
            </w:pPr>
            <w:r w:rsidRPr="00944231">
              <w:rPr>
                <w:rFonts w:cs="Arial"/>
                <w:sz w:val="20"/>
              </w:rPr>
              <w:t>Allied Health professionals</w:t>
            </w:r>
          </w:p>
          <w:p w14:paraId="20671B6E" w14:textId="727B7C5C" w:rsidR="0093538E" w:rsidRPr="0093538E" w:rsidRDefault="0093538E" w:rsidP="0093538E">
            <w:pPr>
              <w:pStyle w:val="ListParagraph"/>
              <w:numPr>
                <w:ilvl w:val="0"/>
                <w:numId w:val="17"/>
              </w:numPr>
              <w:spacing w:after="0" w:line="240" w:lineRule="auto"/>
              <w:rPr>
                <w:rFonts w:cs="Arial"/>
                <w:sz w:val="20"/>
              </w:rPr>
            </w:pPr>
            <w:r>
              <w:rPr>
                <w:rFonts w:cs="Arial"/>
                <w:sz w:val="20"/>
              </w:rPr>
              <w:t>Haora Maori Services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E56226"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56080BF6" w14:textId="77777777" w:rsidR="0093538E" w:rsidRPr="0093538E" w:rsidRDefault="0093538E" w:rsidP="0093538E">
            <w:pPr>
              <w:pStyle w:val="ListParagraph"/>
              <w:numPr>
                <w:ilvl w:val="0"/>
                <w:numId w:val="17"/>
              </w:numPr>
              <w:spacing w:after="0" w:line="240" w:lineRule="auto"/>
              <w:contextualSpacing w:val="0"/>
              <w:jc w:val="both"/>
              <w:rPr>
                <w:rFonts w:ascii="Arial" w:eastAsia="Segoe UI" w:hAnsi="Arial" w:cs="Arial"/>
                <w:color w:val="000000" w:themeColor="text1"/>
              </w:rPr>
            </w:pPr>
            <w:r w:rsidRPr="0093538E">
              <w:rPr>
                <w:rFonts w:ascii="Arial" w:eastAsia="Segoe UI" w:hAnsi="Arial" w:cs="Arial"/>
                <w:color w:val="000000" w:themeColor="text1"/>
              </w:rPr>
              <w:t xml:space="preserve">New Zealand nursing registration </w:t>
            </w:r>
          </w:p>
          <w:p w14:paraId="0DBFC07A" w14:textId="77777777" w:rsidR="0093538E" w:rsidRPr="0093538E" w:rsidRDefault="0093538E" w:rsidP="0093538E">
            <w:pPr>
              <w:pStyle w:val="ListParagraph"/>
              <w:numPr>
                <w:ilvl w:val="0"/>
                <w:numId w:val="17"/>
              </w:numPr>
              <w:spacing w:after="0" w:line="240" w:lineRule="auto"/>
              <w:contextualSpacing w:val="0"/>
              <w:jc w:val="both"/>
              <w:rPr>
                <w:rFonts w:ascii="Arial" w:eastAsia="Segoe UI" w:hAnsi="Arial" w:cs="Arial"/>
                <w:color w:val="000000" w:themeColor="text1"/>
              </w:rPr>
            </w:pPr>
            <w:proofErr w:type="spellStart"/>
            <w:proofErr w:type="gramStart"/>
            <w:r w:rsidRPr="0093538E">
              <w:rPr>
                <w:rFonts w:ascii="Arial" w:eastAsia="Segoe UI" w:hAnsi="Arial" w:cs="Arial"/>
                <w:color w:val="000000" w:themeColor="text1"/>
              </w:rPr>
              <w:t>Masters</w:t>
            </w:r>
            <w:proofErr w:type="spellEnd"/>
            <w:proofErr w:type="gramEnd"/>
            <w:r w:rsidRPr="0093538E">
              <w:rPr>
                <w:rFonts w:ascii="Arial" w:eastAsia="Segoe UI" w:hAnsi="Arial" w:cs="Arial"/>
                <w:color w:val="000000" w:themeColor="text1"/>
              </w:rPr>
              <w:t xml:space="preserve"> degree (with prescribing component)</w:t>
            </w:r>
          </w:p>
          <w:p w14:paraId="1047AF36" w14:textId="77777777" w:rsidR="0093538E" w:rsidRPr="0093538E" w:rsidRDefault="0093538E" w:rsidP="0093538E">
            <w:pPr>
              <w:pStyle w:val="ListParagraph"/>
              <w:numPr>
                <w:ilvl w:val="0"/>
                <w:numId w:val="17"/>
              </w:numPr>
              <w:spacing w:after="0" w:line="240" w:lineRule="auto"/>
              <w:contextualSpacing w:val="0"/>
              <w:jc w:val="both"/>
              <w:rPr>
                <w:rFonts w:ascii="Arial" w:eastAsia="Segoe UI" w:hAnsi="Arial" w:cs="Arial"/>
                <w:color w:val="000000" w:themeColor="text1"/>
              </w:rPr>
            </w:pPr>
            <w:r w:rsidRPr="0093538E">
              <w:rPr>
                <w:rFonts w:ascii="Arial" w:eastAsia="Segoe UI" w:hAnsi="Arial" w:cs="Arial"/>
                <w:color w:val="000000" w:themeColor="text1"/>
              </w:rPr>
              <w:t>Nurse Practitioner scope issued by New Zealand Nursing Council in Acute care Youth or Lifespan</w:t>
            </w:r>
          </w:p>
          <w:p w14:paraId="309F40B6" w14:textId="77777777" w:rsidR="00DF3A52" w:rsidRPr="0093538E" w:rsidRDefault="00DF3A52" w:rsidP="0093538E">
            <w:pPr>
              <w:spacing w:after="0" w:line="240" w:lineRule="auto"/>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4B5112FA" w14:textId="54FC5569" w:rsidR="0093538E" w:rsidRPr="0093538E" w:rsidRDefault="0093538E" w:rsidP="0093538E">
            <w:pPr>
              <w:pStyle w:val="ListParagraph"/>
              <w:numPr>
                <w:ilvl w:val="0"/>
                <w:numId w:val="17"/>
              </w:numPr>
              <w:spacing w:after="0" w:line="240" w:lineRule="auto"/>
              <w:contextualSpacing w:val="0"/>
              <w:jc w:val="both"/>
              <w:rPr>
                <w:rFonts w:ascii="Arial" w:eastAsia="Segoe UI" w:hAnsi="Arial" w:cs="Arial"/>
                <w:color w:val="000000" w:themeColor="text1"/>
              </w:rPr>
            </w:pPr>
            <w:r w:rsidRPr="0093538E">
              <w:rPr>
                <w:rFonts w:ascii="Arial" w:eastAsia="Segoe UI" w:hAnsi="Arial" w:cs="Arial"/>
                <w:color w:val="000000" w:themeColor="text1"/>
              </w:rPr>
              <w:t>Re</w:t>
            </w:r>
            <w:r w:rsidRPr="0093538E">
              <w:rPr>
                <w:rFonts w:ascii="Arial" w:eastAsia="Segoe UI" w:hAnsi="Arial" w:cs="Arial"/>
                <w:color w:val="000000" w:themeColor="text1"/>
              </w:rPr>
              <w:t>search skills including data analysis and critical appraisal skills and clinical audit</w:t>
            </w:r>
          </w:p>
          <w:p w14:paraId="4F739B8B" w14:textId="0051DC63" w:rsidR="00DF3A52" w:rsidRPr="002C4DDC" w:rsidRDefault="0093538E" w:rsidP="0093538E">
            <w:pPr>
              <w:pStyle w:val="ListParagraph"/>
              <w:numPr>
                <w:ilvl w:val="0"/>
                <w:numId w:val="17"/>
              </w:numPr>
              <w:spacing w:after="0" w:line="240" w:lineRule="auto"/>
              <w:contextualSpacing w:val="0"/>
              <w:jc w:val="both"/>
              <w:rPr>
                <w:rFonts w:ascii="Arial" w:hAnsi="Arial" w:cs="Arial"/>
              </w:rPr>
            </w:pPr>
            <w:r w:rsidRPr="0093538E">
              <w:rPr>
                <w:rFonts w:ascii="Arial" w:eastAsia="Segoe UI" w:hAnsi="Arial" w:cs="Arial"/>
                <w:color w:val="000000" w:themeColor="text1"/>
              </w:rPr>
              <w:t>Strategic planning and policy development skills</w:t>
            </w:r>
          </w:p>
        </w:tc>
      </w:tr>
    </w:tbl>
    <w:p w14:paraId="7317B7C4" w14:textId="77777777" w:rsidR="0093538E" w:rsidRPr="008273BB" w:rsidRDefault="0093538E" w:rsidP="0093538E">
      <w:pPr>
        <w:pStyle w:val="Heading2"/>
        <w:rPr>
          <w:rFonts w:asciiTheme="minorHAnsi" w:hAnsiTheme="minorHAnsi"/>
          <w:caps w:val="0"/>
          <w:sz w:val="22"/>
        </w:rPr>
      </w:pPr>
      <w:r w:rsidRPr="008273BB">
        <w:rPr>
          <w:rFonts w:asciiTheme="minorHAnsi" w:hAnsiTheme="minorHAnsi"/>
          <w:caps w:val="0"/>
          <w:sz w:val="22"/>
        </w:rPr>
        <w:t>Critical competencies</w:t>
      </w:r>
    </w:p>
    <w:tbl>
      <w:tblPr>
        <w:tblStyle w:val="ListTable3-Accent11"/>
        <w:tblW w:w="0" w:type="auto"/>
        <w:tblBorders>
          <w:left w:val="dashed" w:sz="4" w:space="0" w:color="auto"/>
          <w:right w:val="none" w:sz="0" w:space="0" w:color="auto"/>
          <w:insideH w:val="single" w:sz="4" w:space="0" w:color="4472C4" w:themeColor="accent1"/>
          <w:insideV w:val="single" w:sz="4" w:space="0" w:color="4472C4" w:themeColor="accent1"/>
        </w:tblBorders>
        <w:tblLook w:val="0480" w:firstRow="0" w:lastRow="0" w:firstColumn="1" w:lastColumn="0" w:noHBand="0" w:noVBand="1"/>
      </w:tblPr>
      <w:tblGrid>
        <w:gridCol w:w="1781"/>
        <w:gridCol w:w="7245"/>
      </w:tblGrid>
      <w:tr w:rsidR="0093538E" w:rsidRPr="008273BB" w14:paraId="46BF6BC8" w14:textId="77777777" w:rsidTr="000F0E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6FF1C9C5" w14:textId="77777777" w:rsidR="0093538E" w:rsidRPr="00A3402C" w:rsidRDefault="0093538E" w:rsidP="000F0E37">
            <w:pPr>
              <w:pStyle w:val="NoSpacing"/>
            </w:pPr>
            <w:r w:rsidRPr="00A3402C">
              <w:t>Leadership</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29D6763D"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Ability to develop and communicate a vision for the future, inspiring commitment to the goals of the organisation / team.</w:t>
            </w:r>
          </w:p>
          <w:p w14:paraId="2382DCC0"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Ability to operationalise the vision and values and help to facilitate change.</w:t>
            </w:r>
          </w:p>
          <w:p w14:paraId="6E5B7C60"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Is able to work with others, within and outside of nursing and midwifery, to draw together a range of perspectives.</w:t>
            </w:r>
          </w:p>
        </w:tc>
      </w:tr>
      <w:tr w:rsidR="0093538E" w:rsidRPr="008273BB" w14:paraId="1ACDD202" w14:textId="77777777" w:rsidTr="000F0E37">
        <w:trPr>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3896A9B4" w14:textId="77777777" w:rsidR="0093538E" w:rsidRPr="00A3402C" w:rsidRDefault="0093538E" w:rsidP="000F0E37">
            <w:pPr>
              <w:pStyle w:val="NoSpacing"/>
            </w:pPr>
            <w:r w:rsidRPr="00A3402C">
              <w:t>People Management</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06F93443"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Leads, communicates expectations and agreed goals, provides ongoing feedback and objectively evaluates performance.</w:t>
            </w:r>
          </w:p>
          <w:p w14:paraId="2156A7F6"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Able to recognise and acknowledge achievements of others.</w:t>
            </w:r>
          </w:p>
          <w:p w14:paraId="147655FF"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Ability to bring people with them even in times of change.</w:t>
            </w:r>
          </w:p>
        </w:tc>
      </w:tr>
      <w:tr w:rsidR="0093538E" w:rsidRPr="008273BB" w14:paraId="5C797C49" w14:textId="77777777" w:rsidTr="000F0E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64FE5D4F" w14:textId="77777777" w:rsidR="0093538E" w:rsidRPr="00A3402C" w:rsidRDefault="0093538E" w:rsidP="000F0E37">
            <w:pPr>
              <w:pStyle w:val="NoSpacing"/>
            </w:pPr>
            <w:r w:rsidRPr="00A3402C">
              <w:t>Teamwork</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0D4E7D96"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Collaborates with other key players and work groups to achieve objectives.</w:t>
            </w:r>
          </w:p>
          <w:p w14:paraId="1734ADD3"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Seeks out opportunities to support others in achieving goals.</w:t>
            </w:r>
          </w:p>
          <w:p w14:paraId="5AFD3252"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Actively contributes to and accepts consensus decisions</w:t>
            </w:r>
          </w:p>
          <w:p w14:paraId="3E80563F"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Recognises and respects individual differences.</w:t>
            </w:r>
          </w:p>
        </w:tc>
      </w:tr>
      <w:tr w:rsidR="0093538E" w:rsidRPr="008273BB" w14:paraId="1D841D4C" w14:textId="77777777" w:rsidTr="000F0E37">
        <w:trPr>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3BA1EEB6" w14:textId="77777777" w:rsidR="0093538E" w:rsidRPr="00A3402C" w:rsidRDefault="0093538E" w:rsidP="000F0E37">
            <w:pPr>
              <w:pStyle w:val="NoSpacing"/>
            </w:pPr>
            <w:r w:rsidRPr="00A3402C">
              <w:t>Bicultural Approach</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4E4F8F10"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 xml:space="preserve">Understands the significance of the Treaty of Waitangi.  </w:t>
            </w:r>
          </w:p>
          <w:p w14:paraId="5D303593"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Displays cultural sensitivity and a willingness to work positively with organisational strategies to improve opportunities for M</w:t>
            </w:r>
            <w:r>
              <w:rPr>
                <w:rFonts w:cs="Arial"/>
                <w:lang w:val="it-IT"/>
              </w:rPr>
              <w:t>ā</w:t>
            </w:r>
            <w:r w:rsidRPr="00A3402C">
              <w:rPr>
                <w:rFonts w:cs="Arial"/>
                <w:lang w:val="it-IT"/>
              </w:rPr>
              <w:t>ori.</w:t>
            </w:r>
          </w:p>
        </w:tc>
      </w:tr>
      <w:tr w:rsidR="0093538E" w:rsidRPr="008273BB" w14:paraId="6BA25913" w14:textId="77777777" w:rsidTr="000F0E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7064BEBA" w14:textId="77777777" w:rsidR="0093538E" w:rsidRPr="00A3402C" w:rsidRDefault="0093538E" w:rsidP="000F0E37">
            <w:pPr>
              <w:pStyle w:val="NoSpacing"/>
            </w:pPr>
            <w:r w:rsidRPr="00A3402C">
              <w:t>Self-Management</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63F5E8C5"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Sets high personal standards and strives to achieve stretching goals</w:t>
            </w:r>
          </w:p>
          <w:p w14:paraId="6BEFA980"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Displays drive and energy and persists in overcoming obstacles.</w:t>
            </w:r>
          </w:p>
          <w:p w14:paraId="64468ED5"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Is proactive and displays initiative.</w:t>
            </w:r>
          </w:p>
          <w:p w14:paraId="01E25A9F"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 xml:space="preserve">Is resilient to change </w:t>
            </w:r>
          </w:p>
          <w:p w14:paraId="63BB460C"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Understands personal limitations</w:t>
            </w:r>
          </w:p>
          <w:p w14:paraId="227B34B9"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Can work to deadlines to achieve outcomes</w:t>
            </w:r>
          </w:p>
        </w:tc>
      </w:tr>
      <w:tr w:rsidR="0093538E" w:rsidRPr="008273BB" w14:paraId="6699A3AD" w14:textId="77777777" w:rsidTr="000F0E37">
        <w:trPr>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4E400CC3" w14:textId="77777777" w:rsidR="0093538E" w:rsidRPr="00A3402C" w:rsidRDefault="0093538E" w:rsidP="000F0E37">
            <w:pPr>
              <w:pStyle w:val="NoSpacing"/>
            </w:pPr>
            <w:r w:rsidRPr="00A3402C">
              <w:t>Patient, Client and Population Focused</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0A366D2F"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Takes action to fully comprehend the needs of patient / client populations.</w:t>
            </w:r>
          </w:p>
          <w:p w14:paraId="65075D78"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Actively promotes such needs and priorities.</w:t>
            </w:r>
          </w:p>
        </w:tc>
      </w:tr>
      <w:tr w:rsidR="0093538E" w:rsidRPr="008273BB" w14:paraId="6CE53BE5" w14:textId="77777777" w:rsidTr="000F0E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2F2910F2" w14:textId="77777777" w:rsidR="0093538E" w:rsidRPr="00A3402C" w:rsidRDefault="0093538E" w:rsidP="000F0E37">
            <w:pPr>
              <w:pStyle w:val="NoSpacing"/>
            </w:pPr>
            <w:r w:rsidRPr="00A3402C">
              <w:t>Communication and Interpersonal Skills</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557BD95F"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Expresses information effectively, both orally and in writing, adjusts language and style to the recipients and considers their frame of reference.</w:t>
            </w:r>
          </w:p>
          <w:p w14:paraId="0B4EF9F7"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Actively listens, drawing out information and checking understanding</w:t>
            </w:r>
          </w:p>
          <w:p w14:paraId="6FD83425"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Empathises with others and considers their needs and feelings.</w:t>
            </w:r>
          </w:p>
          <w:p w14:paraId="54557137"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Creates opportunities to network internally and externally.</w:t>
            </w:r>
          </w:p>
        </w:tc>
      </w:tr>
      <w:tr w:rsidR="0093538E" w:rsidRPr="008273BB" w14:paraId="4287CD93" w14:textId="77777777" w:rsidTr="000F0E37">
        <w:trPr>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3137B621" w14:textId="77777777" w:rsidR="0093538E" w:rsidRPr="00A3402C" w:rsidRDefault="0093538E" w:rsidP="000F0E37">
            <w:pPr>
              <w:pStyle w:val="NoSpacing"/>
            </w:pPr>
            <w:r w:rsidRPr="00A3402C">
              <w:t>Innovation</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4152E63B"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Actively questions old ways of doing things, thinks outside the square and develops creative and effective solutions to improve outcomes.</w:t>
            </w:r>
          </w:p>
          <w:p w14:paraId="245741E6"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Applies skilled analysis and sound reasoning in problem solving / decision making.</w:t>
            </w:r>
          </w:p>
        </w:tc>
      </w:tr>
      <w:tr w:rsidR="0093538E" w:rsidRPr="008273BB" w14:paraId="69C192D5" w14:textId="77777777" w:rsidTr="000F0E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6EE66301" w14:textId="77777777" w:rsidR="0093538E" w:rsidRPr="00A3402C" w:rsidRDefault="0093538E" w:rsidP="000F0E37">
            <w:pPr>
              <w:pStyle w:val="NoSpacing"/>
            </w:pPr>
            <w:r w:rsidRPr="00A3402C">
              <w:t>Flexibility</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17711F11" w14:textId="77777777" w:rsidR="0093538E" w:rsidRPr="00A3402C" w:rsidRDefault="0093538E" w:rsidP="0093538E">
            <w:pPr>
              <w:pStyle w:val="NoSpacing"/>
              <w:numPr>
                <w:ilvl w:val="0"/>
                <w:numId w:val="21"/>
              </w:numPr>
              <w:jc w:val="both"/>
              <w:cnfStyle w:val="000000100000" w:firstRow="0" w:lastRow="0" w:firstColumn="0" w:lastColumn="0" w:oddVBand="0" w:evenVBand="0" w:oddHBand="1" w:evenHBand="0" w:firstRowFirstColumn="0" w:firstRowLastColumn="0" w:lastRowFirstColumn="0" w:lastRowLastColumn="0"/>
              <w:rPr>
                <w:rFonts w:cs="Arial"/>
                <w:lang w:val="it-IT"/>
              </w:rPr>
            </w:pPr>
            <w:r w:rsidRPr="00A3402C">
              <w:rPr>
                <w:rFonts w:cs="Arial"/>
                <w:lang w:val="it-IT"/>
              </w:rPr>
              <w:t>Ability to adapt and work effectively within a variety of situations, and with various individuals or groups.</w:t>
            </w:r>
          </w:p>
        </w:tc>
      </w:tr>
      <w:tr w:rsidR="0093538E" w:rsidRPr="008273BB" w14:paraId="2C3F0167" w14:textId="77777777" w:rsidTr="000F0E37">
        <w:trPr>
          <w:trHeight w:val="332"/>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422AF668" w14:textId="77777777" w:rsidR="0093538E" w:rsidRPr="00A3402C" w:rsidRDefault="0093538E" w:rsidP="000F0E37">
            <w:pPr>
              <w:pStyle w:val="NoSpacing"/>
            </w:pPr>
            <w:r w:rsidRPr="00A3402C">
              <w:t>Planning and Monitoring</w:t>
            </w:r>
          </w:p>
        </w:tc>
        <w:tc>
          <w:tcPr>
            <w:tcW w:w="7388" w:type="dxa"/>
            <w:tcBorders>
              <w:top w:val="single" w:sz="4" w:space="0" w:color="E7E6E6" w:themeColor="background2"/>
              <w:left w:val="single" w:sz="4" w:space="0" w:color="E7E6E6" w:themeColor="background2"/>
              <w:bottom w:val="single" w:sz="4" w:space="0" w:color="E7E6E6" w:themeColor="background2"/>
              <w:right w:val="nil"/>
            </w:tcBorders>
          </w:tcPr>
          <w:p w14:paraId="053BC562"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Uses action plans to accomplish goals, establishes timeframes and can realistically allocate resources.</w:t>
            </w:r>
          </w:p>
          <w:p w14:paraId="610FECA8"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Identifies and removes barriers.</w:t>
            </w:r>
          </w:p>
          <w:p w14:paraId="3AF6E1BE" w14:textId="77777777" w:rsidR="0093538E" w:rsidRPr="00A3402C" w:rsidRDefault="0093538E" w:rsidP="0093538E">
            <w:pPr>
              <w:pStyle w:val="NoSpacing"/>
              <w:numPr>
                <w:ilvl w:val="0"/>
                <w:numId w:val="21"/>
              </w:numPr>
              <w:jc w:val="both"/>
              <w:cnfStyle w:val="000000000000" w:firstRow="0" w:lastRow="0" w:firstColumn="0" w:lastColumn="0" w:oddVBand="0" w:evenVBand="0" w:oddHBand="0" w:evenHBand="0" w:firstRowFirstColumn="0" w:firstRowLastColumn="0" w:lastRowFirstColumn="0" w:lastRowLastColumn="0"/>
              <w:rPr>
                <w:rFonts w:cs="Arial"/>
                <w:lang w:val="it-IT"/>
              </w:rPr>
            </w:pPr>
            <w:r w:rsidRPr="00A3402C">
              <w:rPr>
                <w:rFonts w:cs="Arial"/>
                <w:lang w:val="it-IT"/>
              </w:rPr>
              <w:t>Able to monitor progress and address problems to achieve outcomes.</w:t>
            </w:r>
          </w:p>
        </w:tc>
      </w:tr>
    </w:tbl>
    <w:p w14:paraId="08259BEC" w14:textId="77777777" w:rsidR="0093538E" w:rsidRPr="00425AA1" w:rsidRDefault="0093538E" w:rsidP="0093538E">
      <w:pPr>
        <w:rPr>
          <w:rFonts w:eastAsiaTheme="majorEastAsia" w:cstheme="majorBidi"/>
          <w:b/>
          <w:color w:val="2F5496" w:themeColor="accent1" w:themeShade="BF"/>
          <w:sz w:val="36"/>
          <w:szCs w:val="26"/>
        </w:rPr>
      </w:pPr>
    </w:p>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09FE" w14:textId="77777777" w:rsidR="00E56226" w:rsidRDefault="00E56226" w:rsidP="00F31B43">
      <w:pPr>
        <w:spacing w:after="0" w:line="240" w:lineRule="auto"/>
      </w:pPr>
      <w:r>
        <w:separator/>
      </w:r>
    </w:p>
  </w:endnote>
  <w:endnote w:type="continuationSeparator" w:id="0">
    <w:p w14:paraId="54D3412D" w14:textId="77777777" w:rsidR="00E56226" w:rsidRDefault="00E56226" w:rsidP="00F31B43">
      <w:pPr>
        <w:spacing w:after="0" w:line="240" w:lineRule="auto"/>
      </w:pPr>
      <w:r>
        <w:continuationSeparator/>
      </w:r>
    </w:p>
  </w:endnote>
  <w:endnote w:type="continuationNotice" w:id="1">
    <w:p w14:paraId="6B7BDE89" w14:textId="77777777" w:rsidR="00E56226" w:rsidRDefault="00E56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DF6B" w14:textId="77777777" w:rsidR="00E56226" w:rsidRDefault="00E56226" w:rsidP="00F31B43">
      <w:pPr>
        <w:spacing w:after="0" w:line="240" w:lineRule="auto"/>
      </w:pPr>
      <w:r>
        <w:separator/>
      </w:r>
    </w:p>
  </w:footnote>
  <w:footnote w:type="continuationSeparator" w:id="0">
    <w:p w14:paraId="21C9C51D" w14:textId="77777777" w:rsidR="00E56226" w:rsidRDefault="00E56226" w:rsidP="00F31B43">
      <w:pPr>
        <w:spacing w:after="0" w:line="240" w:lineRule="auto"/>
      </w:pPr>
      <w:r>
        <w:continuationSeparator/>
      </w:r>
    </w:p>
  </w:footnote>
  <w:footnote w:type="continuationNotice" w:id="1">
    <w:p w14:paraId="73D74BBF" w14:textId="77777777" w:rsidR="00E56226" w:rsidRDefault="00E56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4F2359"/>
    <w:multiLevelType w:val="multilevel"/>
    <w:tmpl w:val="A3EC31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30A63"/>
    <w:multiLevelType w:val="multilevel"/>
    <w:tmpl w:val="A3EC31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7"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3A147C"/>
    <w:multiLevelType w:val="hybridMultilevel"/>
    <w:tmpl w:val="6F3A80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BA050FD"/>
    <w:multiLevelType w:val="hybridMultilevel"/>
    <w:tmpl w:val="6A6046B4"/>
    <w:lvl w:ilvl="0" w:tplc="6A887406">
      <w:start w:val="1"/>
      <w:numFmt w:val="bullet"/>
      <w:lvlRestart w:val="0"/>
      <w:lvlText w:val=""/>
      <w:lvlJc w:val="left"/>
      <w:pPr>
        <w:tabs>
          <w:tab w:val="num" w:pos="357"/>
        </w:tabs>
        <w:ind w:left="357" w:hanging="35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0"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3"/>
  </w:num>
  <w:num w:numId="2" w16cid:durableId="764376816">
    <w:abstractNumId w:val="13"/>
  </w:num>
  <w:num w:numId="3" w16cid:durableId="1083718709">
    <w:abstractNumId w:val="11"/>
  </w:num>
  <w:num w:numId="4" w16cid:durableId="1315984603">
    <w:abstractNumId w:val="9"/>
  </w:num>
  <w:num w:numId="5" w16cid:durableId="2035109152">
    <w:abstractNumId w:val="12"/>
  </w:num>
  <w:num w:numId="6" w16cid:durableId="467168717">
    <w:abstractNumId w:val="21"/>
  </w:num>
  <w:num w:numId="7" w16cid:durableId="649821358">
    <w:abstractNumId w:val="5"/>
  </w:num>
  <w:num w:numId="8" w16cid:durableId="1302686193">
    <w:abstractNumId w:val="18"/>
  </w:num>
  <w:num w:numId="9" w16cid:durableId="1315571761">
    <w:abstractNumId w:val="6"/>
  </w:num>
  <w:num w:numId="10" w16cid:durableId="978729190">
    <w:abstractNumId w:val="19"/>
  </w:num>
  <w:num w:numId="11" w16cid:durableId="486627788">
    <w:abstractNumId w:val="4"/>
  </w:num>
  <w:num w:numId="12" w16cid:durableId="1465346095">
    <w:abstractNumId w:val="17"/>
  </w:num>
  <w:num w:numId="13" w16cid:durableId="273710781">
    <w:abstractNumId w:val="16"/>
  </w:num>
  <w:num w:numId="14" w16cid:durableId="264968860">
    <w:abstractNumId w:val="0"/>
  </w:num>
  <w:num w:numId="15" w16cid:durableId="302780392">
    <w:abstractNumId w:val="10"/>
  </w:num>
  <w:num w:numId="16" w16cid:durableId="11732402">
    <w:abstractNumId w:val="7"/>
  </w:num>
  <w:num w:numId="17" w16cid:durableId="1318805123">
    <w:abstractNumId w:val="20"/>
  </w:num>
  <w:num w:numId="18" w16cid:durableId="1967850721">
    <w:abstractNumId w:val="14"/>
  </w:num>
  <w:num w:numId="19" w16cid:durableId="1641575761">
    <w:abstractNumId w:val="8"/>
  </w:num>
  <w:num w:numId="20" w16cid:durableId="201600626">
    <w:abstractNumId w:val="15"/>
  </w:num>
  <w:num w:numId="21" w16cid:durableId="862399834">
    <w:abstractNumId w:val="1"/>
  </w:num>
  <w:num w:numId="22" w16cid:durableId="1586647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6849"/>
    <w:rsid w:val="000B3E62"/>
    <w:rsid w:val="000F661F"/>
    <w:rsid w:val="00106EF8"/>
    <w:rsid w:val="00132C49"/>
    <w:rsid w:val="00134292"/>
    <w:rsid w:val="001362E5"/>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20C70"/>
    <w:rsid w:val="00422707"/>
    <w:rsid w:val="004573BA"/>
    <w:rsid w:val="0046488C"/>
    <w:rsid w:val="004C17DF"/>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671C9"/>
    <w:rsid w:val="00882418"/>
    <w:rsid w:val="008A51B0"/>
    <w:rsid w:val="008B697F"/>
    <w:rsid w:val="008C18D3"/>
    <w:rsid w:val="008F78FB"/>
    <w:rsid w:val="00901A7F"/>
    <w:rsid w:val="0093538E"/>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A0458"/>
    <w:rsid w:val="00CA4ED5"/>
    <w:rsid w:val="00CC16BB"/>
    <w:rsid w:val="00D2709C"/>
    <w:rsid w:val="00D327E7"/>
    <w:rsid w:val="00D448C7"/>
    <w:rsid w:val="00D50A0F"/>
    <w:rsid w:val="00D52287"/>
    <w:rsid w:val="00D549CB"/>
    <w:rsid w:val="00D62956"/>
    <w:rsid w:val="00DF3A52"/>
    <w:rsid w:val="00DF753A"/>
    <w:rsid w:val="00E030ED"/>
    <w:rsid w:val="00E0419E"/>
    <w:rsid w:val="00E30D4E"/>
    <w:rsid w:val="00E56226"/>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1"/>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1"/>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table" w:customStyle="1" w:styleId="ListTable3-Accent11">
    <w:name w:val="List Table 3 - Accent 11"/>
    <w:basedOn w:val="TableNormal"/>
    <w:uiPriority w:val="48"/>
    <w:rsid w:val="009353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2096</Words>
  <Characters>13144</Characters>
  <Application>Microsoft Office Word</Application>
  <DocSecurity>0</DocSecurity>
  <Lines>375</Lines>
  <Paragraphs>227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Anna Wheeler</cp:lastModifiedBy>
  <cp:revision>2</cp:revision>
  <dcterms:created xsi:type="dcterms:W3CDTF">2025-12-07T20:50:00Z</dcterms:created>
  <dcterms:modified xsi:type="dcterms:W3CDTF">2025-12-07T20:50:00Z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