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081C" w14:textId="77777777" w:rsidR="00B32C28" w:rsidRDefault="0053639C" w:rsidP="00B32C28">
      <w:pPr>
        <w:outlineLvl w:val="0"/>
        <w:rPr>
          <w:rFonts w:cs="Arial"/>
          <w:b/>
          <w:lang w:val="en-US"/>
        </w:rPr>
      </w:pPr>
      <w:r>
        <w:rPr>
          <w:noProof/>
          <w:lang w:eastAsia="en-NZ"/>
        </w:rPr>
        <w:drawing>
          <wp:inline distT="0" distB="0" distL="0" distR="0" wp14:anchorId="77A2E9E5" wp14:editId="3FF3F8CB">
            <wp:extent cx="5597004" cy="818866"/>
            <wp:effectExtent l="19050" t="0" r="3696" b="0"/>
            <wp:docPr id="1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AE792" w14:textId="77777777" w:rsidR="00B32C28" w:rsidRPr="00BB14F1" w:rsidRDefault="00B32C28" w:rsidP="00B32C28">
      <w:pPr>
        <w:outlineLvl w:val="0"/>
        <w:rPr>
          <w:rFonts w:ascii="Arial" w:hAnsi="Arial" w:cs="Arial"/>
          <w:b/>
          <w:sz w:val="32"/>
          <w:szCs w:val="32"/>
          <w:lang w:val="en-US"/>
        </w:rPr>
      </w:pPr>
      <w:r w:rsidRPr="00BB14F1">
        <w:rPr>
          <w:rFonts w:ascii="Arial" w:hAnsi="Arial" w:cs="Arial"/>
          <w:b/>
          <w:sz w:val="32"/>
          <w:szCs w:val="32"/>
          <w:lang w:val="en-US"/>
        </w:rPr>
        <w:t>POSITION DESCRIPTION</w:t>
      </w:r>
    </w:p>
    <w:p w14:paraId="10E2BE3C" w14:textId="77777777" w:rsidR="00B32C28" w:rsidRPr="00BB14F1" w:rsidRDefault="00B32C28" w:rsidP="00B32C28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65A8B061" w14:textId="77777777" w:rsidR="00B32C28" w:rsidRPr="00BB14F1" w:rsidRDefault="00B32C28" w:rsidP="00B32C28">
      <w:pPr>
        <w:rPr>
          <w:rFonts w:ascii="Arial" w:hAnsi="Arial" w:cs="Arial"/>
          <w:sz w:val="22"/>
          <w:szCs w:val="22"/>
          <w:lang w:val="en-US"/>
        </w:rPr>
      </w:pPr>
      <w:r w:rsidRPr="00BB14F1">
        <w:rPr>
          <w:rFonts w:ascii="Arial" w:hAnsi="Arial" w:cs="Arial"/>
          <w:b/>
          <w:sz w:val="22"/>
          <w:szCs w:val="22"/>
          <w:lang w:val="en-US"/>
        </w:rPr>
        <w:t>Organisational Vision</w:t>
      </w:r>
      <w:r w:rsidRPr="00BB14F1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13835601" w14:textId="77777777" w:rsidR="00B32C28" w:rsidRPr="00BB14F1" w:rsidRDefault="00B32C28" w:rsidP="00B32C28">
      <w:pPr>
        <w:rPr>
          <w:rFonts w:ascii="Arial" w:hAnsi="Arial" w:cs="Arial"/>
          <w:i/>
          <w:color w:val="008080"/>
          <w:sz w:val="22"/>
          <w:szCs w:val="22"/>
          <w:lang w:val="en-US"/>
        </w:rPr>
      </w:pPr>
      <w:r w:rsidRPr="00BB14F1">
        <w:rPr>
          <w:rFonts w:ascii="Arial" w:hAnsi="Arial" w:cs="Arial"/>
          <w:sz w:val="22"/>
          <w:szCs w:val="22"/>
          <w:lang w:val="en-US"/>
        </w:rPr>
        <w:t xml:space="preserve">South Canterbury District Health Board (SCDHB) is committed </w:t>
      </w:r>
      <w:r w:rsidRPr="00BB14F1">
        <w:rPr>
          <w:rFonts w:ascii="Arial" w:hAnsi="Arial" w:cs="Arial"/>
          <w:i/>
          <w:color w:val="008080"/>
          <w:sz w:val="22"/>
          <w:szCs w:val="22"/>
          <w:lang w:val="en-US"/>
        </w:rPr>
        <w:t>“to enhance the health and independence of the people of South Canterbury”</w:t>
      </w:r>
    </w:p>
    <w:p w14:paraId="308712E5" w14:textId="77777777" w:rsidR="00B32C28" w:rsidRPr="00BB14F1" w:rsidRDefault="00B32C28" w:rsidP="00B32C28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48ECAD50" w14:textId="77777777" w:rsidR="00B32C28" w:rsidRPr="00BB14F1" w:rsidRDefault="00B32C28" w:rsidP="00B32C28">
      <w:pPr>
        <w:rPr>
          <w:rFonts w:ascii="Arial" w:hAnsi="Arial" w:cs="Arial"/>
          <w:sz w:val="22"/>
          <w:szCs w:val="22"/>
        </w:rPr>
      </w:pPr>
      <w:r w:rsidRPr="00BB14F1">
        <w:rPr>
          <w:rFonts w:ascii="Arial" w:hAnsi="Arial" w:cs="Arial"/>
          <w:b/>
          <w:sz w:val="22"/>
          <w:szCs w:val="22"/>
          <w:lang w:val="en-US"/>
        </w:rPr>
        <w:t>Organisational Values:</w:t>
      </w:r>
      <w:r w:rsidRPr="00BB14F1">
        <w:rPr>
          <w:rFonts w:ascii="Arial" w:hAnsi="Arial" w:cs="Arial"/>
          <w:sz w:val="22"/>
          <w:szCs w:val="22"/>
        </w:rPr>
        <w:t xml:space="preserve"> </w:t>
      </w:r>
      <w:r w:rsidRPr="00BB14F1">
        <w:rPr>
          <w:rFonts w:ascii="Arial" w:hAnsi="Arial" w:cs="Arial"/>
          <w:b/>
          <w:color w:val="008080"/>
          <w:sz w:val="22"/>
          <w:szCs w:val="22"/>
        </w:rPr>
        <w:t>I CARE</w:t>
      </w:r>
    </w:p>
    <w:p w14:paraId="3AC1B2E6" w14:textId="77777777" w:rsidR="00B32C28" w:rsidRPr="00BB14F1" w:rsidRDefault="00B32C28" w:rsidP="00B32C28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B14F1">
        <w:rPr>
          <w:rFonts w:ascii="Arial" w:hAnsi="Arial" w:cs="Arial"/>
          <w:b/>
          <w:color w:val="008080"/>
          <w:sz w:val="22"/>
          <w:szCs w:val="22"/>
        </w:rPr>
        <w:t>I</w:t>
      </w:r>
      <w:r w:rsidRPr="00BB14F1">
        <w:rPr>
          <w:rFonts w:ascii="Arial" w:hAnsi="Arial" w:cs="Arial"/>
          <w:sz w:val="22"/>
          <w:szCs w:val="22"/>
        </w:rPr>
        <w:t>ntegrity</w:t>
      </w:r>
    </w:p>
    <w:p w14:paraId="33F8FD6B" w14:textId="77777777" w:rsidR="00B32C28" w:rsidRPr="00BB14F1" w:rsidRDefault="00B32C28" w:rsidP="00B32C28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B14F1">
        <w:rPr>
          <w:rFonts w:ascii="Arial" w:hAnsi="Arial" w:cs="Arial"/>
          <w:b/>
          <w:color w:val="008080"/>
          <w:sz w:val="22"/>
          <w:szCs w:val="22"/>
        </w:rPr>
        <w:t>C</w:t>
      </w:r>
      <w:r w:rsidRPr="00BB14F1">
        <w:rPr>
          <w:rFonts w:ascii="Arial" w:hAnsi="Arial" w:cs="Arial"/>
          <w:sz w:val="22"/>
          <w:szCs w:val="22"/>
        </w:rPr>
        <w:t>ollaboration</w:t>
      </w:r>
    </w:p>
    <w:p w14:paraId="721EBFDE" w14:textId="77777777" w:rsidR="00B32C28" w:rsidRPr="00BB14F1" w:rsidRDefault="00B32C28" w:rsidP="00B32C28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B14F1">
        <w:rPr>
          <w:rFonts w:ascii="Arial" w:hAnsi="Arial" w:cs="Arial"/>
          <w:b/>
          <w:color w:val="008080"/>
          <w:sz w:val="22"/>
          <w:szCs w:val="22"/>
        </w:rPr>
        <w:t>A</w:t>
      </w:r>
      <w:r w:rsidRPr="00BB14F1">
        <w:rPr>
          <w:rFonts w:ascii="Arial" w:hAnsi="Arial" w:cs="Arial"/>
          <w:sz w:val="22"/>
          <w:szCs w:val="22"/>
        </w:rPr>
        <w:t>ccountability</w:t>
      </w:r>
    </w:p>
    <w:p w14:paraId="20B3AB3A" w14:textId="77777777" w:rsidR="00B32C28" w:rsidRPr="00BB14F1" w:rsidRDefault="00B32C28" w:rsidP="00B32C28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B14F1">
        <w:rPr>
          <w:rFonts w:ascii="Arial" w:hAnsi="Arial" w:cs="Arial"/>
          <w:b/>
          <w:color w:val="008080"/>
          <w:sz w:val="22"/>
          <w:szCs w:val="22"/>
        </w:rPr>
        <w:t>R</w:t>
      </w:r>
      <w:r w:rsidRPr="00BB14F1">
        <w:rPr>
          <w:rFonts w:ascii="Arial" w:hAnsi="Arial" w:cs="Arial"/>
          <w:sz w:val="22"/>
          <w:szCs w:val="22"/>
        </w:rPr>
        <w:t>espect</w:t>
      </w:r>
    </w:p>
    <w:p w14:paraId="27BC820D" w14:textId="77777777" w:rsidR="00B32C28" w:rsidRPr="00BB14F1" w:rsidRDefault="00B32C28" w:rsidP="00B32C28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B14F1">
        <w:rPr>
          <w:rFonts w:ascii="Arial" w:hAnsi="Arial" w:cs="Arial"/>
          <w:b/>
          <w:color w:val="008080"/>
          <w:sz w:val="22"/>
          <w:szCs w:val="22"/>
        </w:rPr>
        <w:t>E</w:t>
      </w:r>
      <w:r w:rsidRPr="00BB14F1">
        <w:rPr>
          <w:rFonts w:ascii="Arial" w:hAnsi="Arial" w:cs="Arial"/>
          <w:sz w:val="22"/>
          <w:szCs w:val="22"/>
        </w:rPr>
        <w:t>xcellence</w:t>
      </w:r>
    </w:p>
    <w:p w14:paraId="05D5E61F" w14:textId="77777777" w:rsidR="00354421" w:rsidRPr="00EE5598" w:rsidRDefault="00354421" w:rsidP="00CC6BF4">
      <w:pPr>
        <w:ind w:left="-720"/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9214" w:type="dxa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9214"/>
      </w:tblGrid>
      <w:tr w:rsidR="00354421" w:rsidRPr="00874817" w14:paraId="64A7537C" w14:textId="77777777" w:rsidTr="00B32C28">
        <w:tc>
          <w:tcPr>
            <w:tcW w:w="9214" w:type="dxa"/>
          </w:tcPr>
          <w:p w14:paraId="79E9EBFB" w14:textId="77777777" w:rsidR="00354421" w:rsidRPr="00874817" w:rsidRDefault="00354421" w:rsidP="007D1F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0EE948" w14:textId="77777777" w:rsidR="00354421" w:rsidRPr="00874817" w:rsidRDefault="00354421" w:rsidP="003E6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817">
              <w:rPr>
                <w:rFonts w:ascii="Arial" w:hAnsi="Arial" w:cs="Arial"/>
                <w:b/>
                <w:sz w:val="20"/>
                <w:szCs w:val="20"/>
                <w:lang w:val="en-US"/>
              </w:rPr>
              <w:t>Positio</w:t>
            </w:r>
            <w:r w:rsidR="00CC6BF4" w:rsidRPr="00874817">
              <w:rPr>
                <w:rFonts w:ascii="Arial" w:hAnsi="Arial" w:cs="Arial"/>
                <w:b/>
                <w:sz w:val="20"/>
                <w:szCs w:val="20"/>
                <w:lang w:val="en-US"/>
              </w:rPr>
              <w:t>n:</w:t>
            </w:r>
            <w:r w:rsidRPr="0087481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E67CC" w:rsidRPr="00874817">
              <w:rPr>
                <w:rFonts w:ascii="Arial" w:hAnsi="Arial" w:cs="Arial"/>
                <w:sz w:val="20"/>
                <w:szCs w:val="20"/>
                <w:lang w:val="en-US"/>
              </w:rPr>
              <w:t>Adult Addictions Case Manager</w:t>
            </w:r>
          </w:p>
          <w:p w14:paraId="3D18349E" w14:textId="77777777" w:rsidR="003E67CC" w:rsidRPr="00874817" w:rsidRDefault="003E67CC" w:rsidP="003E6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54421" w:rsidRPr="00874817" w14:paraId="321DCD88" w14:textId="77777777" w:rsidTr="00B32C28">
        <w:tc>
          <w:tcPr>
            <w:tcW w:w="9214" w:type="dxa"/>
          </w:tcPr>
          <w:p w14:paraId="023A9DD5" w14:textId="77777777" w:rsidR="00354421" w:rsidRPr="00874817" w:rsidRDefault="00354421" w:rsidP="005F5621">
            <w:pPr>
              <w:ind w:left="-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C5A96E" w14:textId="08A4ADB3" w:rsidR="00354421" w:rsidRPr="00874817" w:rsidRDefault="00CC6BF4" w:rsidP="007D1F8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74817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Department:</w:t>
            </w:r>
            <w:r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452D85" w:rsidRPr="00874817">
              <w:rPr>
                <w:rFonts w:ascii="Arial" w:hAnsi="Arial" w:cs="Arial"/>
                <w:sz w:val="20"/>
                <w:szCs w:val="20"/>
                <w:lang w:val="en-US"/>
              </w:rPr>
              <w:t>Mental Health Addiction</w:t>
            </w:r>
            <w:r w:rsidR="002E74B9" w:rsidRPr="00874817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52D85"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</w:t>
            </w:r>
          </w:p>
          <w:p w14:paraId="4301AB84" w14:textId="77777777" w:rsidR="00354421" w:rsidRPr="00874817" w:rsidRDefault="00354421" w:rsidP="005F5621">
            <w:pPr>
              <w:ind w:left="-720"/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354421" w:rsidRPr="00874817" w14:paraId="70DF6628" w14:textId="77777777" w:rsidTr="00B32C28">
        <w:tc>
          <w:tcPr>
            <w:tcW w:w="9214" w:type="dxa"/>
          </w:tcPr>
          <w:p w14:paraId="3C62A76F" w14:textId="77777777" w:rsidR="00354421" w:rsidRPr="00874817" w:rsidRDefault="00354421" w:rsidP="005F5621">
            <w:pPr>
              <w:ind w:left="-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BE1CAD" w14:textId="30A852C4" w:rsidR="00354421" w:rsidRPr="00874817" w:rsidRDefault="00CC6BF4" w:rsidP="007D1F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817">
              <w:rPr>
                <w:rFonts w:ascii="Arial" w:hAnsi="Arial" w:cs="Arial"/>
                <w:b/>
                <w:sz w:val="20"/>
                <w:szCs w:val="20"/>
                <w:lang w:val="en-US"/>
              </w:rPr>
              <w:t>Report to:</w:t>
            </w:r>
            <w:r w:rsidR="00354421"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52D85"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6D38C7" w:rsidRPr="00874817">
              <w:rPr>
                <w:rFonts w:ascii="Arial" w:hAnsi="Arial" w:cs="Arial"/>
                <w:sz w:val="20"/>
                <w:szCs w:val="20"/>
                <w:lang w:val="en-US"/>
              </w:rPr>
              <w:t>Clinical Nurse Co-ordinator</w:t>
            </w:r>
            <w:r w:rsidR="00354421"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2D85" w:rsidRPr="00874817">
              <w:rPr>
                <w:rFonts w:ascii="Arial" w:hAnsi="Arial" w:cs="Arial"/>
                <w:sz w:val="20"/>
                <w:szCs w:val="20"/>
                <w:lang w:val="en-US"/>
              </w:rPr>
              <w:t>- Mental Health</w:t>
            </w:r>
            <w:r w:rsidR="002E74B9"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Addictions Service</w:t>
            </w:r>
          </w:p>
          <w:p w14:paraId="2B5EDA09" w14:textId="77777777" w:rsidR="00354421" w:rsidRPr="00874817" w:rsidRDefault="00354421" w:rsidP="005F5621">
            <w:pPr>
              <w:ind w:left="-720"/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354421" w:rsidRPr="00874817" w14:paraId="56AFE5B9" w14:textId="77777777" w:rsidTr="00B32C28">
        <w:tc>
          <w:tcPr>
            <w:tcW w:w="9214" w:type="dxa"/>
          </w:tcPr>
          <w:p w14:paraId="455EF308" w14:textId="77777777" w:rsidR="00354421" w:rsidRPr="00874817" w:rsidRDefault="00354421" w:rsidP="005F5621">
            <w:pPr>
              <w:ind w:left="-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9E6653" w14:textId="77777777" w:rsidR="00CC6BF4" w:rsidRPr="00874817" w:rsidRDefault="00354421" w:rsidP="007D1F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817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Hours:</w:t>
            </w:r>
            <w:r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CC6BF4"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87481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="00EA7F11" w:rsidRPr="00874817">
              <w:rPr>
                <w:rFonts w:ascii="Arial" w:hAnsi="Arial" w:cs="Arial"/>
                <w:sz w:val="20"/>
                <w:szCs w:val="20"/>
                <w:lang w:val="en-US"/>
              </w:rPr>
              <w:t>As per appointment letter</w:t>
            </w:r>
          </w:p>
          <w:p w14:paraId="65C877FC" w14:textId="77777777" w:rsidR="00D54E23" w:rsidRPr="00874817" w:rsidRDefault="00D54E23" w:rsidP="00D54E23">
            <w:pPr>
              <w:ind w:left="-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0CC89E" w14:textId="77777777" w:rsidR="00CC6BF4" w:rsidRPr="00874817" w:rsidRDefault="00CC6BF4" w:rsidP="00CC6BF4">
      <w:pPr>
        <w:ind w:left="-720"/>
        <w:rPr>
          <w:rFonts w:ascii="Arial" w:hAnsi="Arial" w:cs="Arial"/>
          <w:sz w:val="20"/>
          <w:szCs w:val="20"/>
          <w:lang w:val="en-US"/>
        </w:rPr>
      </w:pPr>
    </w:p>
    <w:p w14:paraId="46792A24" w14:textId="77777777" w:rsidR="00354421" w:rsidRPr="00874817" w:rsidRDefault="00354421" w:rsidP="00B32C28">
      <w:pPr>
        <w:pStyle w:val="Heading1"/>
        <w:jc w:val="left"/>
        <w:rPr>
          <w:rFonts w:cs="Arial"/>
          <w:b/>
          <w:sz w:val="20"/>
        </w:rPr>
      </w:pPr>
      <w:r w:rsidRPr="00874817">
        <w:rPr>
          <w:rFonts w:cs="Arial"/>
          <w:b/>
          <w:sz w:val="20"/>
        </w:rPr>
        <w:t>Purpose Statement</w:t>
      </w:r>
    </w:p>
    <w:p w14:paraId="306F9E43" w14:textId="77777777" w:rsidR="006A212D" w:rsidRDefault="00452D85" w:rsidP="00B32C28">
      <w:pPr>
        <w:pBdr>
          <w:top w:val="single" w:sz="4" w:space="1" w:color="31849B" w:themeColor="accent5" w:themeShade="BF"/>
          <w:left w:val="single" w:sz="4" w:space="0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4817">
        <w:rPr>
          <w:rFonts w:ascii="Arial" w:hAnsi="Arial" w:cs="Arial"/>
          <w:sz w:val="20"/>
          <w:szCs w:val="20"/>
        </w:rPr>
        <w:t xml:space="preserve">The Mental Health </w:t>
      </w:r>
      <w:r w:rsidR="002E74B9" w:rsidRPr="00874817">
        <w:rPr>
          <w:rFonts w:ascii="Arial" w:hAnsi="Arial" w:cs="Arial"/>
          <w:sz w:val="20"/>
          <w:szCs w:val="20"/>
        </w:rPr>
        <w:t xml:space="preserve">&amp; </w:t>
      </w:r>
      <w:r w:rsidRPr="00874817">
        <w:rPr>
          <w:rFonts w:ascii="Arial" w:hAnsi="Arial" w:cs="Arial"/>
          <w:sz w:val="20"/>
          <w:szCs w:val="20"/>
        </w:rPr>
        <w:t>Addiction</w:t>
      </w:r>
      <w:r w:rsidR="003E4202">
        <w:rPr>
          <w:rFonts w:ascii="Arial" w:hAnsi="Arial" w:cs="Arial"/>
          <w:sz w:val="20"/>
          <w:szCs w:val="20"/>
        </w:rPr>
        <w:t>s Team</w:t>
      </w:r>
      <w:r w:rsidR="006A212D">
        <w:rPr>
          <w:rFonts w:ascii="Arial" w:hAnsi="Arial" w:cs="Arial"/>
          <w:sz w:val="20"/>
          <w:szCs w:val="20"/>
        </w:rPr>
        <w:t xml:space="preserve"> </w:t>
      </w:r>
      <w:r w:rsidR="00354421" w:rsidRPr="00874817">
        <w:rPr>
          <w:rFonts w:ascii="Arial" w:hAnsi="Arial" w:cs="Arial"/>
          <w:sz w:val="20"/>
          <w:szCs w:val="20"/>
        </w:rPr>
        <w:t>aim</w:t>
      </w:r>
      <w:r w:rsidR="006A212D">
        <w:rPr>
          <w:rFonts w:ascii="Arial" w:hAnsi="Arial" w:cs="Arial"/>
          <w:sz w:val="20"/>
          <w:szCs w:val="20"/>
        </w:rPr>
        <w:t xml:space="preserve"> is</w:t>
      </w:r>
      <w:r w:rsidR="00354421" w:rsidRPr="00874817">
        <w:rPr>
          <w:rFonts w:ascii="Arial" w:hAnsi="Arial" w:cs="Arial"/>
          <w:sz w:val="20"/>
          <w:szCs w:val="20"/>
        </w:rPr>
        <w:t xml:space="preserve"> to reduce the negative consequences of Alcohol and Drug</w:t>
      </w:r>
      <w:r w:rsidR="006A212D">
        <w:rPr>
          <w:rFonts w:ascii="Arial" w:hAnsi="Arial" w:cs="Arial"/>
          <w:sz w:val="20"/>
          <w:szCs w:val="20"/>
        </w:rPr>
        <w:t xml:space="preserve"> </w:t>
      </w:r>
      <w:r w:rsidR="00354421" w:rsidRPr="00874817">
        <w:rPr>
          <w:rFonts w:ascii="Arial" w:hAnsi="Arial" w:cs="Arial"/>
          <w:sz w:val="20"/>
          <w:szCs w:val="20"/>
        </w:rPr>
        <w:t>use by working in a collaborative partnership,</w:t>
      </w:r>
      <w:r w:rsidR="006A212D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6A212D">
        <w:rPr>
          <w:rFonts w:ascii="Arial" w:hAnsi="Arial" w:cs="Arial"/>
          <w:sz w:val="20"/>
          <w:szCs w:val="20"/>
        </w:rPr>
        <w:t>tangata</w:t>
      </w:r>
      <w:proofErr w:type="spellEnd"/>
      <w:r w:rsidR="006A2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212D">
        <w:rPr>
          <w:rFonts w:ascii="Arial" w:hAnsi="Arial" w:cs="Arial"/>
          <w:sz w:val="20"/>
          <w:szCs w:val="20"/>
        </w:rPr>
        <w:t>whaiora</w:t>
      </w:r>
      <w:proofErr w:type="spellEnd"/>
      <w:r w:rsidR="006A212D">
        <w:rPr>
          <w:rFonts w:ascii="Arial" w:hAnsi="Arial" w:cs="Arial"/>
          <w:sz w:val="20"/>
          <w:szCs w:val="20"/>
        </w:rPr>
        <w:t xml:space="preserve"> and their whanau,</w:t>
      </w:r>
      <w:r w:rsidR="00354421" w:rsidRPr="00874817">
        <w:rPr>
          <w:rFonts w:ascii="Arial" w:hAnsi="Arial" w:cs="Arial"/>
          <w:sz w:val="20"/>
          <w:szCs w:val="20"/>
        </w:rPr>
        <w:t xml:space="preserve"> through the utilisation of person-centred approaches to</w:t>
      </w:r>
      <w:r w:rsidR="006A212D">
        <w:rPr>
          <w:rFonts w:ascii="Arial" w:hAnsi="Arial" w:cs="Arial"/>
          <w:sz w:val="20"/>
          <w:szCs w:val="20"/>
        </w:rPr>
        <w:t xml:space="preserve"> triage, comprehensive</w:t>
      </w:r>
      <w:r w:rsidR="00354421" w:rsidRPr="00874817">
        <w:rPr>
          <w:rFonts w:ascii="Arial" w:hAnsi="Arial" w:cs="Arial"/>
          <w:sz w:val="20"/>
          <w:szCs w:val="20"/>
        </w:rPr>
        <w:t xml:space="preserve"> assessment and treatment.  </w:t>
      </w:r>
    </w:p>
    <w:p w14:paraId="315291A1" w14:textId="4517350D" w:rsidR="00354421" w:rsidRPr="00874817" w:rsidRDefault="00354421" w:rsidP="00B32C28">
      <w:pPr>
        <w:pBdr>
          <w:top w:val="single" w:sz="4" w:space="1" w:color="31849B" w:themeColor="accent5" w:themeShade="BF"/>
          <w:left w:val="single" w:sz="4" w:space="0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4817">
        <w:rPr>
          <w:rFonts w:ascii="Arial" w:hAnsi="Arial" w:cs="Arial"/>
          <w:sz w:val="20"/>
          <w:szCs w:val="20"/>
        </w:rPr>
        <w:t>We provide a service that recognises and respects individual needs enabling people to make informed choices regarding the range of treatment options available, by providing confidential support, information, liaison, advocacy and referral.</w:t>
      </w:r>
    </w:p>
    <w:p w14:paraId="47A98C34" w14:textId="77777777" w:rsidR="007D1F89" w:rsidRPr="00874817" w:rsidRDefault="007D1F89" w:rsidP="00B32C28">
      <w:pPr>
        <w:pStyle w:val="Heading1"/>
        <w:jc w:val="left"/>
        <w:rPr>
          <w:rFonts w:cs="Arial"/>
          <w:b/>
          <w:sz w:val="20"/>
        </w:rPr>
      </w:pPr>
    </w:p>
    <w:p w14:paraId="4E748201" w14:textId="77777777" w:rsidR="00354421" w:rsidRPr="00874817" w:rsidRDefault="00354421" w:rsidP="00B32C28">
      <w:pPr>
        <w:pStyle w:val="Heading1"/>
        <w:jc w:val="left"/>
        <w:rPr>
          <w:rFonts w:cs="Arial"/>
          <w:b/>
          <w:sz w:val="20"/>
        </w:rPr>
      </w:pPr>
      <w:r w:rsidRPr="00874817">
        <w:rPr>
          <w:rFonts w:cs="Arial"/>
          <w:b/>
          <w:sz w:val="20"/>
        </w:rPr>
        <w:t>Nature and Scope</w:t>
      </w:r>
    </w:p>
    <w:p w14:paraId="6009AA26" w14:textId="7C65B0DB" w:rsidR="006A212D" w:rsidRPr="006A212D" w:rsidRDefault="00354421" w:rsidP="006A212D">
      <w:pPr>
        <w:pStyle w:val="Heading1"/>
        <w:pBdr>
          <w:top w:val="single" w:sz="4" w:space="1" w:color="31849B" w:themeColor="accent5" w:themeShade="BF"/>
          <w:left w:val="single" w:sz="4" w:space="1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line="360" w:lineRule="auto"/>
        <w:jc w:val="both"/>
        <w:rPr>
          <w:rFonts w:eastAsia="Arial Unicode MS" w:cs="Arial"/>
          <w:sz w:val="20"/>
        </w:rPr>
      </w:pPr>
      <w:r w:rsidRPr="00874817">
        <w:rPr>
          <w:rFonts w:eastAsia="Arial Unicode MS" w:cs="Arial"/>
          <w:sz w:val="20"/>
        </w:rPr>
        <w:t>The “</w:t>
      </w:r>
      <w:r w:rsidR="003E67CC" w:rsidRPr="00874817">
        <w:rPr>
          <w:rFonts w:eastAsia="Arial Unicode MS" w:cs="Arial"/>
          <w:sz w:val="20"/>
        </w:rPr>
        <w:t>Case Manager</w:t>
      </w:r>
      <w:r w:rsidRPr="00874817">
        <w:rPr>
          <w:rFonts w:eastAsia="Arial Unicode MS" w:cs="Arial"/>
          <w:sz w:val="20"/>
        </w:rPr>
        <w:t>”</w:t>
      </w:r>
      <w:r w:rsidR="009352AC">
        <w:rPr>
          <w:rFonts w:eastAsia="Arial Unicode MS" w:cs="Arial"/>
          <w:sz w:val="20"/>
        </w:rPr>
        <w:t xml:space="preserve"> </w:t>
      </w:r>
      <w:r w:rsidRPr="00874817">
        <w:rPr>
          <w:rFonts w:eastAsia="Arial Unicode MS" w:cs="Arial"/>
          <w:sz w:val="20"/>
        </w:rPr>
        <w:t>work</w:t>
      </w:r>
      <w:r w:rsidR="009352AC">
        <w:rPr>
          <w:rFonts w:eastAsia="Arial Unicode MS" w:cs="Arial"/>
          <w:sz w:val="20"/>
        </w:rPr>
        <w:t>s</w:t>
      </w:r>
      <w:r w:rsidRPr="00874817">
        <w:rPr>
          <w:rFonts w:eastAsia="Arial Unicode MS" w:cs="Arial"/>
          <w:sz w:val="20"/>
        </w:rPr>
        <w:t xml:space="preserve"> </w:t>
      </w:r>
      <w:r w:rsidR="002E74B9" w:rsidRPr="00874817">
        <w:rPr>
          <w:rFonts w:eastAsia="Arial Unicode MS" w:cs="Arial"/>
          <w:sz w:val="20"/>
        </w:rPr>
        <w:t>alongside</w:t>
      </w:r>
      <w:r w:rsidRPr="00874817">
        <w:rPr>
          <w:rFonts w:eastAsia="Arial Unicode MS" w:cs="Arial"/>
          <w:sz w:val="20"/>
        </w:rPr>
        <w:t xml:space="preserve"> </w:t>
      </w:r>
      <w:proofErr w:type="spellStart"/>
      <w:r w:rsidR="006A212D">
        <w:rPr>
          <w:rFonts w:eastAsia="Arial Unicode MS" w:cs="Arial"/>
          <w:sz w:val="20"/>
        </w:rPr>
        <w:t>tangata</w:t>
      </w:r>
      <w:proofErr w:type="spellEnd"/>
      <w:r w:rsidR="006A212D">
        <w:rPr>
          <w:rFonts w:eastAsia="Arial Unicode MS" w:cs="Arial"/>
          <w:sz w:val="20"/>
        </w:rPr>
        <w:t xml:space="preserve"> </w:t>
      </w:r>
      <w:proofErr w:type="spellStart"/>
      <w:r w:rsidR="006A212D">
        <w:rPr>
          <w:rFonts w:eastAsia="Arial Unicode MS" w:cs="Arial"/>
          <w:sz w:val="20"/>
        </w:rPr>
        <w:t>whaiora</w:t>
      </w:r>
      <w:proofErr w:type="spellEnd"/>
      <w:r w:rsidR="006A212D">
        <w:rPr>
          <w:rFonts w:eastAsia="Arial Unicode MS" w:cs="Arial"/>
          <w:sz w:val="20"/>
        </w:rPr>
        <w:t xml:space="preserve"> </w:t>
      </w:r>
      <w:r w:rsidRPr="00874817">
        <w:rPr>
          <w:rFonts w:eastAsia="Arial Unicode MS" w:cs="Arial"/>
          <w:sz w:val="20"/>
        </w:rPr>
        <w:t xml:space="preserve">to assist them in achieving their goals based on their individual </w:t>
      </w:r>
      <w:r w:rsidR="006A212D">
        <w:rPr>
          <w:rFonts w:eastAsia="Arial Unicode MS" w:cs="Arial"/>
          <w:sz w:val="20"/>
        </w:rPr>
        <w:t>needs. This is achieved by using mental health and addiction knowledge to</w:t>
      </w:r>
      <w:r w:rsidR="006A681B">
        <w:rPr>
          <w:rFonts w:eastAsia="Arial Unicode MS" w:cs="Arial"/>
          <w:sz w:val="20"/>
        </w:rPr>
        <w:t xml:space="preserve"> identify</w:t>
      </w:r>
      <w:r w:rsidR="006A212D">
        <w:rPr>
          <w:rFonts w:eastAsia="Arial Unicode MS" w:cs="Arial"/>
          <w:sz w:val="20"/>
        </w:rPr>
        <w:t xml:space="preserve"> </w:t>
      </w:r>
      <w:r w:rsidR="006A681B">
        <w:rPr>
          <w:rFonts w:eastAsia="Arial Unicode MS" w:cs="Arial"/>
          <w:sz w:val="20"/>
        </w:rPr>
        <w:t>options of treatment available</w:t>
      </w:r>
      <w:r w:rsidR="006A212D">
        <w:rPr>
          <w:rFonts w:eastAsia="Arial Unicode MS" w:cs="Arial"/>
          <w:sz w:val="20"/>
        </w:rPr>
        <w:t xml:space="preserve"> to </w:t>
      </w:r>
      <w:proofErr w:type="spellStart"/>
      <w:r w:rsidR="006A212D">
        <w:rPr>
          <w:rFonts w:eastAsia="Arial Unicode MS" w:cs="Arial"/>
          <w:sz w:val="20"/>
        </w:rPr>
        <w:t>tangata</w:t>
      </w:r>
      <w:proofErr w:type="spellEnd"/>
      <w:r w:rsidR="006A212D">
        <w:rPr>
          <w:rFonts w:eastAsia="Arial Unicode MS" w:cs="Arial"/>
          <w:sz w:val="20"/>
        </w:rPr>
        <w:t xml:space="preserve"> </w:t>
      </w:r>
      <w:proofErr w:type="spellStart"/>
      <w:r w:rsidR="006A212D">
        <w:rPr>
          <w:rFonts w:eastAsia="Arial Unicode MS" w:cs="Arial"/>
          <w:sz w:val="20"/>
        </w:rPr>
        <w:t>whaiora</w:t>
      </w:r>
      <w:proofErr w:type="spellEnd"/>
      <w:r w:rsidR="006A212D">
        <w:rPr>
          <w:rFonts w:eastAsia="Arial Unicode MS" w:cs="Arial"/>
          <w:sz w:val="20"/>
        </w:rPr>
        <w:t xml:space="preserve"> </w:t>
      </w:r>
      <w:r w:rsidR="009352AC">
        <w:rPr>
          <w:rFonts w:eastAsia="Arial Unicode MS" w:cs="Arial"/>
          <w:sz w:val="20"/>
        </w:rPr>
        <w:t xml:space="preserve">(and deliver as appropriate) </w:t>
      </w:r>
      <w:r w:rsidR="006A212D">
        <w:rPr>
          <w:rFonts w:eastAsia="Arial Unicode MS" w:cs="Arial"/>
          <w:sz w:val="20"/>
        </w:rPr>
        <w:t>as supported by a multi-disciplinary team.</w:t>
      </w:r>
    </w:p>
    <w:p w14:paraId="7789B6D6" w14:textId="35547911" w:rsidR="00354421" w:rsidRPr="00874817" w:rsidRDefault="00EA525E" w:rsidP="00874817">
      <w:pPr>
        <w:pStyle w:val="Heading1"/>
        <w:pBdr>
          <w:top w:val="single" w:sz="4" w:space="1" w:color="31849B" w:themeColor="accent5" w:themeShade="BF"/>
          <w:left w:val="single" w:sz="4" w:space="1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line="360" w:lineRule="auto"/>
        <w:jc w:val="both"/>
        <w:rPr>
          <w:rFonts w:eastAsia="Arial Unicode MS" w:cs="Arial"/>
          <w:sz w:val="20"/>
        </w:rPr>
      </w:pPr>
      <w:r w:rsidRPr="00874817">
        <w:rPr>
          <w:rFonts w:eastAsia="Arial Unicode MS" w:cs="Arial"/>
          <w:sz w:val="20"/>
        </w:rPr>
        <w:t xml:space="preserve">The </w:t>
      </w:r>
      <w:r w:rsidR="003E67CC" w:rsidRPr="00874817">
        <w:rPr>
          <w:rFonts w:eastAsia="Arial Unicode MS" w:cs="Arial"/>
          <w:sz w:val="20"/>
        </w:rPr>
        <w:t>Case Manager</w:t>
      </w:r>
      <w:r w:rsidRPr="00874817">
        <w:rPr>
          <w:rFonts w:eastAsia="Arial Unicode MS" w:cs="Arial"/>
          <w:sz w:val="20"/>
        </w:rPr>
        <w:t xml:space="preserve"> </w:t>
      </w:r>
      <w:r w:rsidR="009352AC">
        <w:rPr>
          <w:rFonts w:eastAsia="Arial Unicode MS" w:cs="Arial"/>
          <w:sz w:val="20"/>
        </w:rPr>
        <w:t>will</w:t>
      </w:r>
      <w:r w:rsidRPr="00874817">
        <w:rPr>
          <w:rFonts w:eastAsia="Arial Unicode MS" w:cs="Arial"/>
          <w:sz w:val="20"/>
        </w:rPr>
        <w:t xml:space="preserve"> also p</w:t>
      </w:r>
      <w:r w:rsidR="00354421" w:rsidRPr="00874817">
        <w:rPr>
          <w:rFonts w:eastAsia="Arial Unicode MS" w:cs="Arial"/>
          <w:sz w:val="20"/>
        </w:rPr>
        <w:t>rovide a consultation and support service to internal and external health professionals working with consumers, ex</w:t>
      </w:r>
      <w:r w:rsidR="009352AC">
        <w:rPr>
          <w:rFonts w:eastAsia="Arial Unicode MS" w:cs="Arial"/>
          <w:sz w:val="20"/>
        </w:rPr>
        <w:t>periencing</w:t>
      </w:r>
      <w:r w:rsidR="00354421" w:rsidRPr="00874817">
        <w:rPr>
          <w:rFonts w:eastAsia="Arial Unicode MS" w:cs="Arial"/>
          <w:sz w:val="20"/>
        </w:rPr>
        <w:t xml:space="preserve"> </w:t>
      </w:r>
      <w:r w:rsidR="006A681B">
        <w:rPr>
          <w:rFonts w:eastAsia="Arial Unicode MS" w:cs="Arial"/>
          <w:sz w:val="20"/>
        </w:rPr>
        <w:t xml:space="preserve">mental </w:t>
      </w:r>
      <w:r w:rsidR="006A681B" w:rsidRPr="00874817">
        <w:rPr>
          <w:rFonts w:eastAsia="Arial Unicode MS" w:cs="Arial"/>
          <w:sz w:val="20"/>
        </w:rPr>
        <w:t>health</w:t>
      </w:r>
      <w:r w:rsidR="00354421" w:rsidRPr="00874817">
        <w:rPr>
          <w:rFonts w:eastAsia="Arial Unicode MS" w:cs="Arial"/>
          <w:sz w:val="20"/>
        </w:rPr>
        <w:t xml:space="preserve"> and/or alcohol and other drug problems.</w:t>
      </w:r>
    </w:p>
    <w:p w14:paraId="79382AB2" w14:textId="77777777" w:rsidR="00CC6BF4" w:rsidRPr="00874817" w:rsidRDefault="00CC6BF4" w:rsidP="00CC6BF4">
      <w:pPr>
        <w:rPr>
          <w:rFonts w:ascii="Arial" w:eastAsia="Arial Unicode MS" w:hAnsi="Arial" w:cs="Arial"/>
          <w:sz w:val="20"/>
          <w:szCs w:val="20"/>
          <w:lang w:val="en-US"/>
        </w:rPr>
      </w:pPr>
    </w:p>
    <w:p w14:paraId="7ACAF1B6" w14:textId="77777777" w:rsidR="00C83136" w:rsidRPr="00874817" w:rsidRDefault="00C83136" w:rsidP="001F2D08">
      <w:pPr>
        <w:ind w:left="-720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14:paraId="56A7C77B" w14:textId="77777777" w:rsidR="00354421" w:rsidRPr="00874817" w:rsidRDefault="00354421" w:rsidP="00B32C28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874817">
        <w:rPr>
          <w:rFonts w:ascii="Arial" w:hAnsi="Arial" w:cs="Arial"/>
          <w:b/>
          <w:sz w:val="20"/>
          <w:szCs w:val="20"/>
          <w:lang w:val="en-US"/>
        </w:rPr>
        <w:t xml:space="preserve">PERSON SPECIFICATIONS </w:t>
      </w:r>
    </w:p>
    <w:tbl>
      <w:tblPr>
        <w:tblW w:w="9072" w:type="dxa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9072"/>
      </w:tblGrid>
      <w:tr w:rsidR="00354421" w:rsidRPr="00874817" w14:paraId="0E03A488" w14:textId="77777777" w:rsidTr="00B32C28">
        <w:tc>
          <w:tcPr>
            <w:tcW w:w="9072" w:type="dxa"/>
          </w:tcPr>
          <w:p w14:paraId="7D9C96F7" w14:textId="5063A3BC" w:rsidR="00354421" w:rsidRPr="00874817" w:rsidRDefault="003E67CC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NZ </w:t>
            </w:r>
            <w:r w:rsidR="00354421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Registered </w:t>
            </w:r>
            <w:r w:rsidR="003B4D3F" w:rsidRPr="00874817">
              <w:rPr>
                <w:rFonts w:ascii="Arial" w:eastAsia="Arial Unicode MS" w:hAnsi="Arial" w:cs="Arial"/>
                <w:sz w:val="20"/>
                <w:szCs w:val="20"/>
              </w:rPr>
              <w:t>Nurse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, Social Worker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Occupational Therapist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or Enrolled Nurse</w:t>
            </w:r>
            <w:r w:rsidR="009352AC">
              <w:rPr>
                <w:rFonts w:ascii="Arial" w:eastAsia="Arial Unicode MS" w:hAnsi="Arial" w:cs="Arial"/>
                <w:sz w:val="20"/>
                <w:szCs w:val="20"/>
              </w:rPr>
              <w:t>, DAPAANZ       registered</w:t>
            </w:r>
          </w:p>
          <w:p w14:paraId="7B588766" w14:textId="5A483F69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Experience in delivering 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>evidence-based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practice</w:t>
            </w:r>
          </w:p>
          <w:p w14:paraId="0E4F560F" w14:textId="77777777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A current practice certificate</w:t>
            </w:r>
          </w:p>
          <w:p w14:paraId="0423FD42" w14:textId="77777777" w:rsidR="006D38C7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Post graduate qualification in field of </w:t>
            </w:r>
            <w:r w:rsidR="00D302B7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interest/ or interested in </w:t>
            </w:r>
            <w:r w:rsidR="002E74B9" w:rsidRPr="00874817">
              <w:rPr>
                <w:rFonts w:ascii="Arial" w:eastAsia="Arial Unicode MS" w:hAnsi="Arial" w:cs="Arial"/>
                <w:sz w:val="20"/>
                <w:szCs w:val="20"/>
              </w:rPr>
              <w:t>pursuing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further mental </w:t>
            </w:r>
          </w:p>
          <w:p w14:paraId="14A5369F" w14:textId="63647264" w:rsidR="00354421" w:rsidRPr="00874817" w:rsidRDefault="003749EB" w:rsidP="00874817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          </w:t>
            </w:r>
            <w:r w:rsidR="000D70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health 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&amp; addiction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training</w:t>
            </w:r>
          </w:p>
          <w:p w14:paraId="212D3BF1" w14:textId="77777777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Relevance to scope of practice</w:t>
            </w:r>
          </w:p>
          <w:p w14:paraId="5F615FA5" w14:textId="791B6F06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743" w:hanging="7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A strong commitment to working within the strengths </w:t>
            </w:r>
            <w:r w:rsidR="002E74B9" w:rsidRPr="00874817">
              <w:rPr>
                <w:rFonts w:ascii="Arial" w:eastAsia="Arial Unicode MS" w:hAnsi="Arial" w:cs="Arial"/>
                <w:sz w:val="20"/>
                <w:szCs w:val="20"/>
              </w:rPr>
              <w:t>focus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recovery approach to</w:t>
            </w:r>
            <w:r w:rsidR="00B32C28"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case management and demonstrates knowledge and understanding regarding how to incorporate this practice </w:t>
            </w:r>
            <w:r w:rsidR="00943D7C" w:rsidRPr="00874817">
              <w:rPr>
                <w:rFonts w:ascii="Arial" w:eastAsia="Arial Unicode MS" w:hAnsi="Arial" w:cs="Arial"/>
                <w:sz w:val="20"/>
                <w:szCs w:val="20"/>
              </w:rPr>
              <w:t>into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the delivery of care.</w:t>
            </w:r>
          </w:p>
          <w:p w14:paraId="359F27A4" w14:textId="77777777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743" w:hanging="7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Has appropriate clinical experience (specific to the level of competency required) i.e. relevant psychiatric/mental health experience and or alcohol and drug experience/interest.</w:t>
            </w:r>
          </w:p>
          <w:p w14:paraId="35C08B3B" w14:textId="77777777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743" w:hanging="7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Skills that demonstrate a clear focus, is motivated and adaptable in approach to professional practice</w:t>
            </w:r>
          </w:p>
          <w:p w14:paraId="36AA294E" w14:textId="51D303B8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743" w:hanging="7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Strong communication skills, an understanding of team dynamics and collaboration required to facilitate delivery of a safe an</w:t>
            </w:r>
            <w:r w:rsidR="006D38C7" w:rsidRPr="00874817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effective service</w:t>
            </w:r>
          </w:p>
          <w:p w14:paraId="4043A568" w14:textId="77777777" w:rsidR="006D38C7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Effective planning and prioritisation with the ability to perform effectively under </w:t>
            </w:r>
          </w:p>
          <w:p w14:paraId="38FF6B21" w14:textId="4A80231D" w:rsidR="00354421" w:rsidRPr="00874817" w:rsidRDefault="003749EB" w:rsidP="00874817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 xml:space="preserve">             </w:t>
            </w:r>
            <w:r w:rsidR="00354421" w:rsidRPr="00874817">
              <w:rPr>
                <w:rFonts w:ascii="Arial" w:eastAsia="Arial Unicode MS" w:hAnsi="Arial" w:cs="Arial"/>
                <w:sz w:val="20"/>
                <w:szCs w:val="20"/>
              </w:rPr>
              <w:t>pressure</w:t>
            </w:r>
          </w:p>
          <w:p w14:paraId="39BDAA01" w14:textId="77777777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743" w:hanging="7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A working knowledge of the relevant legislation and guidelines that govern professional practice both general and speciality focused</w:t>
            </w:r>
          </w:p>
          <w:p w14:paraId="3C2FBA1C" w14:textId="77777777" w:rsidR="00354421" w:rsidRPr="00874817" w:rsidRDefault="00354421" w:rsidP="00874817">
            <w:pPr>
              <w:numPr>
                <w:ilvl w:val="0"/>
                <w:numId w:val="1"/>
              </w:numPr>
              <w:tabs>
                <w:tab w:val="clear" w:pos="567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817">
              <w:rPr>
                <w:rFonts w:ascii="Arial" w:eastAsia="Arial Unicode MS" w:hAnsi="Arial" w:cs="Arial"/>
                <w:sz w:val="20"/>
                <w:szCs w:val="20"/>
              </w:rPr>
              <w:t>A personal commitment to professional development and continuous quality improvement</w:t>
            </w:r>
          </w:p>
        </w:tc>
      </w:tr>
    </w:tbl>
    <w:p w14:paraId="3CCBBF83" w14:textId="77777777" w:rsidR="00354421" w:rsidRDefault="00354421" w:rsidP="00354421">
      <w:pPr>
        <w:rPr>
          <w:lang w:val="en-US"/>
        </w:rPr>
      </w:pPr>
    </w:p>
    <w:tbl>
      <w:tblPr>
        <w:tblW w:w="9101" w:type="dxa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9101"/>
      </w:tblGrid>
      <w:tr w:rsidR="009352AC" w:rsidRPr="005F5621" w14:paraId="48F89817" w14:textId="77777777" w:rsidTr="009352AC">
        <w:trPr>
          <w:trHeight w:val="159"/>
        </w:trPr>
        <w:tc>
          <w:tcPr>
            <w:tcW w:w="9101" w:type="dxa"/>
          </w:tcPr>
          <w:p w14:paraId="5FB20755" w14:textId="77777777" w:rsidR="008A2BC9" w:rsidRDefault="008A2BC9" w:rsidP="008A2B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A2BC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Cultural considerations</w:t>
            </w:r>
            <w:r w:rsidRPr="008A2BC9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</w:p>
          <w:p w14:paraId="6734E68C" w14:textId="77777777" w:rsidR="009352AC" w:rsidRDefault="008A2BC9" w:rsidP="008A2B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A2BC9">
              <w:rPr>
                <w:rFonts w:ascii="Arial" w:eastAsia="Arial Unicode MS" w:hAnsi="Arial" w:cs="Arial"/>
                <w:sz w:val="20"/>
                <w:szCs w:val="20"/>
              </w:rPr>
              <w:t xml:space="preserve">Consider the cultural needs and values of all </w:t>
            </w:r>
            <w:proofErr w:type="spellStart"/>
            <w:r w:rsidRPr="008A2BC9">
              <w:rPr>
                <w:rFonts w:ascii="Arial" w:eastAsia="Arial Unicode MS" w:hAnsi="Arial" w:cs="Arial"/>
                <w:sz w:val="20"/>
                <w:szCs w:val="20"/>
              </w:rPr>
              <w:t>tangata</w:t>
            </w:r>
            <w:proofErr w:type="spellEnd"/>
            <w:r w:rsidRPr="008A2BC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A2BC9">
              <w:rPr>
                <w:rFonts w:ascii="Arial" w:eastAsia="Arial Unicode MS" w:hAnsi="Arial" w:cs="Arial"/>
                <w:sz w:val="20"/>
                <w:szCs w:val="20"/>
              </w:rPr>
              <w:t>whaiora</w:t>
            </w:r>
            <w:proofErr w:type="spellEnd"/>
            <w:r w:rsidRPr="008A2BC9">
              <w:rPr>
                <w:rFonts w:ascii="Arial" w:eastAsia="Arial Unicode MS" w:hAnsi="Arial" w:cs="Arial"/>
                <w:sz w:val="20"/>
                <w:szCs w:val="20"/>
              </w:rPr>
              <w:t xml:space="preserve"> throughout the treatment process</w:t>
            </w:r>
          </w:p>
          <w:p w14:paraId="58CD02D5" w14:textId="77777777" w:rsidR="000D70FE" w:rsidRDefault="000D70FE" w:rsidP="008A2B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658F0F" w14:textId="36D696A4" w:rsidR="000D70FE" w:rsidRPr="006A212D" w:rsidRDefault="000D70FE" w:rsidP="008A2BC9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352AC" w:rsidRPr="005F5621" w14:paraId="79938950" w14:textId="77777777" w:rsidTr="009352AC">
        <w:trPr>
          <w:trHeight w:val="159"/>
        </w:trPr>
        <w:tc>
          <w:tcPr>
            <w:tcW w:w="9101" w:type="dxa"/>
          </w:tcPr>
          <w:p w14:paraId="5C910E9E" w14:textId="43EA9D03" w:rsidR="00150013" w:rsidRPr="00150013" w:rsidRDefault="00150013" w:rsidP="0015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Well-being: </w:t>
            </w:r>
          </w:p>
          <w:p w14:paraId="5313BA15" w14:textId="77777777" w:rsidR="009352AC" w:rsidRDefault="00150013" w:rsidP="00150013">
            <w:pPr>
              <w:rPr>
                <w:rFonts w:ascii="Arial" w:hAnsi="Arial" w:cs="Arial"/>
                <w:sz w:val="20"/>
                <w:szCs w:val="20"/>
              </w:rPr>
            </w:pPr>
            <w:r w:rsidRPr="00150013">
              <w:rPr>
                <w:rFonts w:ascii="Arial" w:hAnsi="Arial" w:cs="Arial"/>
                <w:sz w:val="20"/>
                <w:szCs w:val="20"/>
              </w:rPr>
              <w:t>Take a well-being perspective by considering problems as barriers to well-being and seeing a state of positive well-being as the key outcome variable rather than the absence of dysfunction</w:t>
            </w:r>
          </w:p>
          <w:p w14:paraId="312CB756" w14:textId="77777777" w:rsidR="000D70FE" w:rsidRDefault="000D70FE" w:rsidP="00150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8175F" w14:textId="2DE64F2C" w:rsidR="000D70FE" w:rsidRPr="00150013" w:rsidRDefault="000D70FE" w:rsidP="00150013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352AC" w:rsidRPr="005F5621" w14:paraId="5312877C" w14:textId="77777777" w:rsidTr="009352AC">
        <w:trPr>
          <w:trHeight w:val="159"/>
        </w:trPr>
        <w:tc>
          <w:tcPr>
            <w:tcW w:w="9101" w:type="dxa"/>
          </w:tcPr>
          <w:p w14:paraId="0E7744D8" w14:textId="77777777" w:rsidR="00150013" w:rsidRDefault="00150013" w:rsidP="00150013">
            <w:pPr>
              <w:rPr>
                <w:rFonts w:ascii="Arial" w:hAnsi="Arial" w:cs="Arial"/>
                <w:sz w:val="20"/>
                <w:szCs w:val="20"/>
              </w:rPr>
            </w:pPr>
            <w:r w:rsidRPr="00150013">
              <w:rPr>
                <w:rFonts w:ascii="Arial" w:hAnsi="Arial" w:cs="Arial"/>
                <w:b/>
                <w:bCs/>
                <w:sz w:val="20"/>
                <w:szCs w:val="20"/>
              </w:rPr>
              <w:t>Engagement:</w:t>
            </w:r>
            <w:r w:rsidRPr="00150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A74DB" w14:textId="77777777" w:rsidR="009352AC" w:rsidRDefault="00150013" w:rsidP="00150013">
            <w:pPr>
              <w:rPr>
                <w:rFonts w:ascii="Arial" w:hAnsi="Arial" w:cs="Arial"/>
                <w:sz w:val="20"/>
                <w:szCs w:val="20"/>
              </w:rPr>
            </w:pPr>
            <w:r w:rsidRPr="00150013">
              <w:rPr>
                <w:rFonts w:ascii="Arial" w:hAnsi="Arial" w:cs="Arial"/>
                <w:sz w:val="20"/>
                <w:szCs w:val="20"/>
              </w:rPr>
              <w:t>Actively incorporate strategies to increase and maintain engagement with the clinical case manager, the management plan and the service</w:t>
            </w:r>
          </w:p>
          <w:p w14:paraId="6B558A54" w14:textId="77777777" w:rsidR="000D70FE" w:rsidRDefault="000D70FE" w:rsidP="00150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3AE1" w14:textId="4346CEC5" w:rsidR="000D70FE" w:rsidRPr="00150013" w:rsidRDefault="000D70FE" w:rsidP="0015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AC" w:rsidRPr="005F5621" w14:paraId="69DE240C" w14:textId="77777777" w:rsidTr="009352AC">
        <w:trPr>
          <w:trHeight w:val="159"/>
        </w:trPr>
        <w:tc>
          <w:tcPr>
            <w:tcW w:w="9101" w:type="dxa"/>
          </w:tcPr>
          <w:p w14:paraId="636EC7A5" w14:textId="77777777" w:rsidR="00150013" w:rsidRDefault="00150013" w:rsidP="0015001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5001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Motivation:</w:t>
            </w:r>
            <w:r w:rsidRPr="001500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3159E282" w14:textId="7311C248" w:rsidR="009352AC" w:rsidRDefault="00150013" w:rsidP="0015001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50013">
              <w:rPr>
                <w:rFonts w:ascii="Arial" w:eastAsia="Arial Unicode MS" w:hAnsi="Arial" w:cs="Arial"/>
                <w:sz w:val="20"/>
                <w:szCs w:val="20"/>
              </w:rPr>
              <w:t>Actively incorporate strategies to enhance motivation, including, but not limited to, CEP-adapted motivational interviewing techniques</w:t>
            </w:r>
          </w:p>
          <w:p w14:paraId="1F8A41A2" w14:textId="77777777" w:rsidR="000D70FE" w:rsidRDefault="000D70FE" w:rsidP="0015001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60535CC8" w14:textId="77777777" w:rsidR="009352AC" w:rsidRPr="005F5621" w:rsidRDefault="009352AC" w:rsidP="007D1F89">
            <w:pPr>
              <w:ind w:left="567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352AC" w:rsidRPr="005F5621" w14:paraId="4E748E2B" w14:textId="77777777" w:rsidTr="009352AC">
        <w:trPr>
          <w:trHeight w:val="159"/>
        </w:trPr>
        <w:tc>
          <w:tcPr>
            <w:tcW w:w="9101" w:type="dxa"/>
          </w:tcPr>
          <w:p w14:paraId="31CD063E" w14:textId="77777777" w:rsidR="000D70FE" w:rsidRPr="000D70FE" w:rsidRDefault="000D70FE" w:rsidP="000D70F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D70F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Assessment: </w:t>
            </w:r>
          </w:p>
          <w:p w14:paraId="2B6CFC66" w14:textId="77777777" w:rsidR="009352AC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Screen all </w:t>
            </w:r>
            <w:proofErr w:type="spellStart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>tangata</w:t>
            </w:r>
            <w:proofErr w:type="spellEnd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>whaiora</w:t>
            </w:r>
            <w:proofErr w:type="spellEnd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 presenting in mental health and alcohol and drug services for CEP, and if they screen positive, undertake a comprehensive assessment that gives equal weight to diagnoses, individualised problems and an integrated aetiological or causal formulation</w:t>
            </w:r>
          </w:p>
          <w:p w14:paraId="4D353F92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E2AD00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E626621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6459F1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D70F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Management:</w:t>
            </w:r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3CE8879F" w14:textId="578A4E61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D70FE">
              <w:rPr>
                <w:rFonts w:ascii="Arial" w:eastAsia="Arial Unicode MS" w:hAnsi="Arial" w:cs="Arial"/>
                <w:sz w:val="20"/>
                <w:szCs w:val="20"/>
              </w:rPr>
              <w:t>Use clinical case management to deliver and coordinate multiple interventions appropriate to the phase of treatment</w:t>
            </w:r>
          </w:p>
          <w:p w14:paraId="217B70F2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AA11533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16B966E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BDFE613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D70F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Integrated care:</w:t>
            </w:r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3762BD42" w14:textId="08F36114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Integrate care by placing the needs of </w:t>
            </w:r>
            <w:proofErr w:type="spellStart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>tangata</w:t>
            </w:r>
            <w:proofErr w:type="spellEnd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>whaiora</w:t>
            </w:r>
            <w:proofErr w:type="spellEnd"/>
            <w:r w:rsidRPr="000D70FE">
              <w:rPr>
                <w:rFonts w:ascii="Arial" w:eastAsia="Arial Unicode MS" w:hAnsi="Arial" w:cs="Arial"/>
                <w:sz w:val="20"/>
                <w:szCs w:val="20"/>
              </w:rPr>
              <w:t xml:space="preserve"> first, and deliver care driven by the integrated formulation in a single setting and ensure close linkages between all services and workers involved</w:t>
            </w:r>
          </w:p>
          <w:p w14:paraId="3ED0DA7B" w14:textId="77777777" w:rsid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B8ECFD" w14:textId="122BB50A" w:rsidR="000D70FE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352AC" w:rsidRPr="005F5621" w14:paraId="75A4512E" w14:textId="77777777" w:rsidTr="009352AC">
        <w:trPr>
          <w:trHeight w:val="159"/>
        </w:trPr>
        <w:tc>
          <w:tcPr>
            <w:tcW w:w="9101" w:type="dxa"/>
          </w:tcPr>
          <w:p w14:paraId="687EECFF" w14:textId="6FEDB33B" w:rsidR="009352AC" w:rsidRPr="005F5621" w:rsidRDefault="009352AC" w:rsidP="00DE69B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Involving Families</w:t>
            </w:r>
            <w:r w:rsidR="000D70FE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58F61221" w14:textId="0D01D007" w:rsidR="009352AC" w:rsidRPr="005F5621" w:rsidRDefault="009352AC" w:rsidP="000D70F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Ensure that the education and support needs of the family/whanau are considered and goals set as required to maximize recovery opportunities for all </w:t>
            </w:r>
          </w:p>
          <w:p w14:paraId="732268DB" w14:textId="77777777" w:rsidR="009352AC" w:rsidRPr="005F5621" w:rsidRDefault="009352AC" w:rsidP="00DE69B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352AC" w:rsidRPr="005F5621" w14:paraId="5075CFE3" w14:textId="77777777" w:rsidTr="009352AC">
        <w:trPr>
          <w:trHeight w:val="2299"/>
        </w:trPr>
        <w:tc>
          <w:tcPr>
            <w:tcW w:w="9101" w:type="dxa"/>
          </w:tcPr>
          <w:p w14:paraId="3BCB3644" w14:textId="77777777" w:rsidR="009352AC" w:rsidRPr="005F5621" w:rsidRDefault="009352AC" w:rsidP="00354421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lastRenderedPageBreak/>
              <w:t>Interpersonal Relationships</w:t>
            </w:r>
          </w:p>
          <w:p w14:paraId="6A50150F" w14:textId="771768F2" w:rsidR="009352AC" w:rsidRPr="000D70FE" w:rsidRDefault="000D70FE" w:rsidP="000D70F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D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emonstrate hope inducing behaviors to ensure effective collaborative relationships are developed between the person and the family/whanau to maximize outcomes for the individual</w:t>
            </w:r>
          </w:p>
        </w:tc>
      </w:tr>
      <w:tr w:rsidR="009352AC" w:rsidRPr="005F5621" w14:paraId="54A25F31" w14:textId="77777777" w:rsidTr="009352AC">
        <w:trPr>
          <w:trHeight w:val="1790"/>
        </w:trPr>
        <w:tc>
          <w:tcPr>
            <w:tcW w:w="9101" w:type="dxa"/>
          </w:tcPr>
          <w:p w14:paraId="52B50F0E" w14:textId="77777777" w:rsidR="009352AC" w:rsidRPr="005F5621" w:rsidRDefault="009352AC" w:rsidP="0035442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F56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Quality Improvement</w:t>
            </w:r>
          </w:p>
          <w:p w14:paraId="76B75065" w14:textId="3DABA9D1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 xml:space="preserve">emonstrate a positive personal commitment and actively contribute to the implementation, culture and ongoing maintenance of continuous quality improvement processes in their area </w:t>
            </w:r>
          </w:p>
        </w:tc>
      </w:tr>
      <w:tr w:rsidR="009352AC" w:rsidRPr="005F5621" w14:paraId="569DDEB4" w14:textId="77777777" w:rsidTr="009352AC">
        <w:trPr>
          <w:trHeight w:val="1790"/>
        </w:trPr>
        <w:tc>
          <w:tcPr>
            <w:tcW w:w="9101" w:type="dxa"/>
          </w:tcPr>
          <w:p w14:paraId="60BC1BCE" w14:textId="77777777" w:rsidR="000D70FE" w:rsidRDefault="009352AC" w:rsidP="000D70FE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F56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Health &amp; Safety</w:t>
            </w:r>
          </w:p>
          <w:p w14:paraId="19211DE6" w14:textId="04078C43" w:rsidR="009352AC" w:rsidRPr="000D70FE" w:rsidRDefault="000D70FE" w:rsidP="000D70FE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nderstand and apply the principles of Health &amp; Safety and Risk Management to recognise and respond pro-actively to potential risk within the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area </w:t>
            </w:r>
          </w:p>
        </w:tc>
      </w:tr>
      <w:tr w:rsidR="009352AC" w:rsidRPr="005F5621" w14:paraId="0714EB3B" w14:textId="77777777" w:rsidTr="009352AC">
        <w:trPr>
          <w:trHeight w:val="978"/>
        </w:trPr>
        <w:tc>
          <w:tcPr>
            <w:tcW w:w="9101" w:type="dxa"/>
          </w:tcPr>
          <w:p w14:paraId="01758C0A" w14:textId="77777777" w:rsidR="009352AC" w:rsidRDefault="009352AC" w:rsidP="0035442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F5621">
              <w:rPr>
                <w:rFonts w:ascii="Arial" w:eastAsia="Arial Unicode MS" w:hAnsi="Arial" w:cs="Arial"/>
                <w:b/>
                <w:sz w:val="20"/>
                <w:szCs w:val="20"/>
              </w:rPr>
              <w:t>Performance</w:t>
            </w:r>
          </w:p>
          <w:p w14:paraId="0FA26027" w14:textId="011C4BBE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 xml:space="preserve">emonstrate active preparation and participation in own performance appraisal </w:t>
            </w:r>
          </w:p>
          <w:p w14:paraId="203E7B77" w14:textId="22F2F58E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ct on recommendations arising from performance management, enlisting support of appropriate personnel where appropriate</w:t>
            </w:r>
          </w:p>
          <w:p w14:paraId="71B04E0C" w14:textId="77777777" w:rsidR="009352AC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egularly attend Administrative Supervision</w:t>
            </w:r>
          </w:p>
          <w:p w14:paraId="39910FC6" w14:textId="1F4C40F5" w:rsidR="000D70FE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352AC" w:rsidRPr="005F5621" w14:paraId="70A3209B" w14:textId="77777777" w:rsidTr="009352AC">
        <w:trPr>
          <w:trHeight w:val="1790"/>
        </w:trPr>
        <w:tc>
          <w:tcPr>
            <w:tcW w:w="9101" w:type="dxa"/>
          </w:tcPr>
          <w:p w14:paraId="4890DA53" w14:textId="77777777" w:rsidR="009352AC" w:rsidRPr="005F5621" w:rsidRDefault="009352AC" w:rsidP="0035442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F5621">
              <w:rPr>
                <w:rFonts w:ascii="Arial" w:eastAsia="Arial Unicode MS" w:hAnsi="Arial" w:cs="Arial"/>
                <w:b/>
                <w:sz w:val="20"/>
                <w:szCs w:val="20"/>
              </w:rPr>
              <w:t>Personal and Professional Development</w:t>
            </w:r>
          </w:p>
          <w:p w14:paraId="53B3E80A" w14:textId="2C4913FF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 xml:space="preserve">aintain and enhance their ongoing knowledge regarding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the area of practice</w:t>
            </w:r>
          </w:p>
          <w:p w14:paraId="571E6818" w14:textId="77777777" w:rsidR="009352AC" w:rsidRPr="005F5621" w:rsidRDefault="009352AC" w:rsidP="0053577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8C4E30" w14:textId="4393F873" w:rsidR="009352AC" w:rsidRPr="005F5621" w:rsidRDefault="000D70FE" w:rsidP="000D70F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aintain a high level of personal motivation for work despite problems, changes, or daily work demands</w:t>
            </w:r>
          </w:p>
          <w:p w14:paraId="55A06FBD" w14:textId="77777777" w:rsidR="009352AC" w:rsidRPr="005F5621" w:rsidRDefault="009352AC" w:rsidP="0035442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352AC" w:rsidRPr="005F5621" w14:paraId="442D4D99" w14:textId="77777777" w:rsidTr="009352AC">
        <w:trPr>
          <w:trHeight w:val="1790"/>
        </w:trPr>
        <w:tc>
          <w:tcPr>
            <w:tcW w:w="9101" w:type="dxa"/>
          </w:tcPr>
          <w:p w14:paraId="3D26BE43" w14:textId="77777777" w:rsidR="009352AC" w:rsidRPr="005F5621" w:rsidRDefault="009352AC" w:rsidP="00354421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Legislation and Organizational Knowledge</w:t>
            </w:r>
          </w:p>
          <w:p w14:paraId="125DF62C" w14:textId="77777777" w:rsidR="009352AC" w:rsidRDefault="009352AC" w:rsidP="0035442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C92DEF1" w14:textId="41FF21CE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nsure compliance with New Zealand statutory laws</w:t>
            </w:r>
          </w:p>
          <w:p w14:paraId="397F9B4B" w14:textId="77777777" w:rsidR="009352AC" w:rsidRPr="005F5621" w:rsidRDefault="009352AC" w:rsidP="0053577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F755A9E" w14:textId="4387D9B3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 xml:space="preserve">omply with organizational and service specific rules, code of </w:t>
            </w:r>
            <w:proofErr w:type="gramStart"/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conduct,  policies</w:t>
            </w:r>
            <w:proofErr w:type="gramEnd"/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 xml:space="preserve">, protocols and procedures including documentation </w:t>
            </w:r>
          </w:p>
          <w:p w14:paraId="04225F74" w14:textId="77777777" w:rsidR="009352AC" w:rsidRPr="005F5621" w:rsidRDefault="009352AC" w:rsidP="0053577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5B4A8F4" w14:textId="14E3E8FA" w:rsidR="009352AC" w:rsidRPr="005F5621" w:rsidRDefault="000D70FE" w:rsidP="000D70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</w:t>
            </w:r>
            <w:r w:rsidR="009352AC" w:rsidRPr="005F5621">
              <w:rPr>
                <w:rFonts w:ascii="Arial" w:eastAsia="Arial Unicode MS" w:hAnsi="Arial" w:cs="Arial"/>
                <w:sz w:val="20"/>
                <w:szCs w:val="20"/>
              </w:rPr>
              <w:t>nderstand and apply the following legislation (and subsequent amendments):</w:t>
            </w:r>
          </w:p>
          <w:p w14:paraId="6EC25AE0" w14:textId="77777777" w:rsidR="009352AC" w:rsidRPr="005F5621" w:rsidRDefault="009352AC" w:rsidP="005F5621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Privacy Act</w:t>
            </w:r>
          </w:p>
          <w:p w14:paraId="31253318" w14:textId="77777777" w:rsidR="009352AC" w:rsidRPr="005F5621" w:rsidRDefault="009352AC" w:rsidP="005F5621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Health and Disability Commissioners Act</w:t>
            </w:r>
          </w:p>
          <w:p w14:paraId="7B25F2F6" w14:textId="77777777" w:rsidR="009352AC" w:rsidRPr="005F5621" w:rsidRDefault="009352AC" w:rsidP="005F5621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5F5621">
                <w:rPr>
                  <w:rFonts w:ascii="Arial" w:eastAsia="Arial Unicode MS" w:hAnsi="Arial" w:cs="Arial"/>
                  <w:sz w:val="20"/>
                  <w:szCs w:val="20"/>
                  <w:lang w:val="en-US"/>
                </w:rPr>
                <w:t>Health &amp; Safety</w:t>
              </w:r>
            </w:smartTag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in Employment Act </w:t>
            </w:r>
          </w:p>
          <w:p w14:paraId="79E6C000" w14:textId="77777777" w:rsidR="009352AC" w:rsidRPr="005F5621" w:rsidRDefault="009352AC" w:rsidP="005F5621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Health Practitioners Competency Assurance Act</w:t>
            </w:r>
          </w:p>
          <w:p w14:paraId="2460AAED" w14:textId="77777777" w:rsidR="009352AC" w:rsidRPr="005F5621" w:rsidRDefault="009352AC" w:rsidP="005F5621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MOH Regulations </w:t>
            </w:r>
          </w:p>
          <w:p w14:paraId="2B8A015E" w14:textId="77777777" w:rsidR="009352AC" w:rsidRPr="005F5621" w:rsidRDefault="009352AC" w:rsidP="0053577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6863409F" w14:textId="77777777" w:rsidR="009352AC" w:rsidRPr="005F5621" w:rsidRDefault="009352AC" w:rsidP="005F5621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</w:rPr>
              <w:t>Understand and apply the</w:t>
            </w:r>
          </w:p>
          <w:p w14:paraId="42B30CEC" w14:textId="77777777" w:rsidR="009352AC" w:rsidRPr="005F5621" w:rsidRDefault="009352AC" w:rsidP="005F5621">
            <w:pPr>
              <w:numPr>
                <w:ilvl w:val="1"/>
                <w:numId w:val="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</w:rPr>
              <w:t>Treaty of Waitangi Principles</w:t>
            </w:r>
          </w:p>
          <w:p w14:paraId="6A03888F" w14:textId="77777777" w:rsidR="009352AC" w:rsidRPr="005F5621" w:rsidRDefault="009352AC" w:rsidP="005F5621">
            <w:pPr>
              <w:numPr>
                <w:ilvl w:val="1"/>
                <w:numId w:val="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</w:rPr>
              <w:t>Hospital Regulations / House Rules</w:t>
            </w:r>
          </w:p>
          <w:p w14:paraId="320B4529" w14:textId="77777777" w:rsidR="009352AC" w:rsidRPr="000D70FE" w:rsidRDefault="009352AC" w:rsidP="005F5621">
            <w:pPr>
              <w:numPr>
                <w:ilvl w:val="1"/>
                <w:numId w:val="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F5621">
              <w:rPr>
                <w:rFonts w:ascii="Arial" w:eastAsia="Arial Unicode MS" w:hAnsi="Arial" w:cs="Arial"/>
                <w:sz w:val="20"/>
                <w:szCs w:val="20"/>
              </w:rPr>
              <w:t xml:space="preserve">Philosophy of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SCDHB</w:t>
            </w:r>
            <w:r w:rsidRPr="005F562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68499E8" w14:textId="77777777" w:rsidR="000D70FE" w:rsidRPr="000D70FE" w:rsidRDefault="000D70FE" w:rsidP="005F5621">
            <w:pPr>
              <w:numPr>
                <w:ilvl w:val="1"/>
                <w:numId w:val="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Mental Health Act 1993</w:t>
            </w:r>
          </w:p>
          <w:p w14:paraId="51874973" w14:textId="77777777" w:rsidR="000D70FE" w:rsidRDefault="000D70FE" w:rsidP="005F5621">
            <w:pPr>
              <w:numPr>
                <w:ilvl w:val="1"/>
                <w:numId w:val="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Substance Addiction Compulsory Assessment and Treatment Act </w:t>
            </w:r>
          </w:p>
          <w:p w14:paraId="249AB316" w14:textId="2F797CDF" w:rsidR="000D70FE" w:rsidRPr="005F5621" w:rsidRDefault="000D70FE" w:rsidP="000D70FE">
            <w:pPr>
              <w:ind w:left="144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906BA0E" w14:textId="77777777" w:rsidR="00B32C28" w:rsidRDefault="00B32C28" w:rsidP="00354421">
      <w:pPr>
        <w:rPr>
          <w:rFonts w:ascii="Arial" w:hAnsi="Arial" w:cs="Arial"/>
          <w:b/>
          <w:sz w:val="22"/>
          <w:szCs w:val="22"/>
          <w:lang w:val="en-US"/>
        </w:rPr>
      </w:pPr>
    </w:p>
    <w:p w14:paraId="321C6BE6" w14:textId="77777777" w:rsidR="000A0EEE" w:rsidRDefault="000A0EEE" w:rsidP="00354421">
      <w:pPr>
        <w:rPr>
          <w:rFonts w:ascii="Arial" w:hAnsi="Arial" w:cs="Arial"/>
          <w:b/>
          <w:sz w:val="22"/>
          <w:szCs w:val="22"/>
          <w:lang w:val="en-US"/>
        </w:rPr>
      </w:pPr>
    </w:p>
    <w:p w14:paraId="076434F8" w14:textId="77777777" w:rsidR="00AA082C" w:rsidRPr="005F7BD1" w:rsidRDefault="00AA082C" w:rsidP="00354421">
      <w:pPr>
        <w:rPr>
          <w:rFonts w:ascii="Arial" w:hAnsi="Arial" w:cs="Arial"/>
          <w:b/>
          <w:sz w:val="22"/>
          <w:szCs w:val="22"/>
          <w:lang w:val="en-US"/>
        </w:rPr>
      </w:pPr>
    </w:p>
    <w:p w14:paraId="2A50BC7A" w14:textId="77777777" w:rsidR="00354421" w:rsidRPr="005F7BD1" w:rsidRDefault="00354421" w:rsidP="00354421">
      <w:pPr>
        <w:rPr>
          <w:rFonts w:ascii="Arial" w:hAnsi="Arial" w:cs="Arial"/>
          <w:sz w:val="20"/>
          <w:szCs w:val="20"/>
          <w:lang w:val="en-US"/>
        </w:rPr>
      </w:pPr>
      <w:r w:rsidRPr="005F7BD1">
        <w:rPr>
          <w:rFonts w:ascii="Arial" w:hAnsi="Arial" w:cs="Arial"/>
          <w:sz w:val="20"/>
          <w:szCs w:val="20"/>
          <w:lang w:val="en-US"/>
        </w:rPr>
        <w:lastRenderedPageBreak/>
        <w:t xml:space="preserve">Employee        </w:t>
      </w:r>
      <w:r w:rsidRPr="005F7BD1">
        <w:rPr>
          <w:rFonts w:ascii="Arial" w:hAnsi="Arial" w:cs="Arial"/>
          <w:sz w:val="20"/>
          <w:szCs w:val="20"/>
          <w:lang w:val="en-US"/>
        </w:rPr>
        <w:tab/>
        <w:t>___________________________</w:t>
      </w:r>
      <w:r w:rsidRPr="005F7BD1">
        <w:rPr>
          <w:rFonts w:ascii="Arial" w:hAnsi="Arial" w:cs="Arial"/>
          <w:sz w:val="20"/>
          <w:szCs w:val="20"/>
          <w:lang w:val="en-US"/>
        </w:rPr>
        <w:tab/>
        <w:t>_____________</w:t>
      </w:r>
      <w:r w:rsidRPr="005F7BD1">
        <w:rPr>
          <w:rFonts w:ascii="Arial" w:hAnsi="Arial" w:cs="Arial"/>
          <w:sz w:val="20"/>
          <w:szCs w:val="20"/>
          <w:lang w:val="en-US"/>
        </w:rPr>
        <w:tab/>
        <w:t>_____</w:t>
      </w:r>
    </w:p>
    <w:p w14:paraId="765B5881" w14:textId="77777777" w:rsidR="00354421" w:rsidRPr="005F7BD1" w:rsidRDefault="00354421" w:rsidP="00354421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5F7BD1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295F31F1" w14:textId="77777777" w:rsidR="00354421" w:rsidRDefault="00354421" w:rsidP="00354421">
      <w:pPr>
        <w:rPr>
          <w:rFonts w:ascii="Arial" w:hAnsi="Arial" w:cs="Arial"/>
          <w:b/>
          <w:sz w:val="20"/>
          <w:szCs w:val="20"/>
          <w:lang w:val="en-US"/>
        </w:rPr>
      </w:pPr>
    </w:p>
    <w:p w14:paraId="440BC5BD" w14:textId="77777777" w:rsidR="000A0EEE" w:rsidRPr="005F7BD1" w:rsidRDefault="000A0EEE" w:rsidP="00354421">
      <w:pPr>
        <w:rPr>
          <w:rFonts w:ascii="Arial" w:hAnsi="Arial" w:cs="Arial"/>
          <w:b/>
          <w:sz w:val="20"/>
          <w:szCs w:val="20"/>
          <w:lang w:val="en-US"/>
        </w:rPr>
      </w:pPr>
    </w:p>
    <w:p w14:paraId="12ADBFAD" w14:textId="77777777" w:rsidR="00354421" w:rsidRPr="005F7BD1" w:rsidRDefault="00354421" w:rsidP="00354421">
      <w:pPr>
        <w:rPr>
          <w:rFonts w:ascii="Arial" w:hAnsi="Arial" w:cs="Arial"/>
          <w:sz w:val="20"/>
          <w:szCs w:val="20"/>
          <w:lang w:val="en-US"/>
        </w:rPr>
      </w:pPr>
    </w:p>
    <w:p w14:paraId="2E9F056C" w14:textId="77777777" w:rsidR="00354421" w:rsidRPr="005F7BD1" w:rsidRDefault="00354421" w:rsidP="00354421">
      <w:pPr>
        <w:rPr>
          <w:rFonts w:ascii="Arial" w:hAnsi="Arial" w:cs="Arial"/>
          <w:sz w:val="20"/>
          <w:szCs w:val="20"/>
          <w:lang w:val="en-US"/>
        </w:rPr>
      </w:pPr>
      <w:r w:rsidRPr="005F7BD1">
        <w:rPr>
          <w:rFonts w:ascii="Arial" w:hAnsi="Arial" w:cs="Arial"/>
          <w:sz w:val="20"/>
          <w:szCs w:val="20"/>
          <w:lang w:val="en-US"/>
        </w:rPr>
        <w:t>SCDHB</w:t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  <w:t>__________________________</w:t>
      </w:r>
      <w:r w:rsidRPr="005F7BD1">
        <w:rPr>
          <w:rFonts w:ascii="Arial" w:hAnsi="Arial" w:cs="Arial"/>
          <w:sz w:val="20"/>
          <w:szCs w:val="20"/>
          <w:lang w:val="en-US"/>
        </w:rPr>
        <w:tab/>
        <w:t>____________</w:t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  <w:t>_____</w:t>
      </w:r>
    </w:p>
    <w:p w14:paraId="259FD534" w14:textId="77777777" w:rsidR="00354421" w:rsidRPr="005F7BD1" w:rsidRDefault="00354421" w:rsidP="00C83136">
      <w:pPr>
        <w:ind w:left="720" w:firstLine="720"/>
        <w:rPr>
          <w:rFonts w:ascii="Arial" w:hAnsi="Arial" w:cs="Arial"/>
          <w:b/>
          <w:sz w:val="22"/>
          <w:szCs w:val="22"/>
          <w:lang w:val="en-US"/>
        </w:rPr>
      </w:pPr>
      <w:r w:rsidRPr="005F7BD1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5F7BD1">
        <w:rPr>
          <w:rFonts w:ascii="Arial" w:hAnsi="Arial" w:cs="Arial"/>
          <w:sz w:val="20"/>
          <w:szCs w:val="20"/>
          <w:lang w:val="en-US"/>
        </w:rPr>
        <w:tab/>
      </w:r>
      <w:r w:rsidRPr="005F7BD1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7FC304FA" w14:textId="77777777" w:rsidR="00354421" w:rsidRPr="00354421" w:rsidRDefault="00354421">
      <w:pPr>
        <w:rPr>
          <w:lang w:val="en-US"/>
        </w:rPr>
      </w:pPr>
    </w:p>
    <w:sectPr w:rsidR="00354421" w:rsidRPr="00354421" w:rsidSect="00C8313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26DF" w14:textId="77777777" w:rsidR="00E86A21" w:rsidRDefault="00E86A21">
      <w:r>
        <w:separator/>
      </w:r>
    </w:p>
  </w:endnote>
  <w:endnote w:type="continuationSeparator" w:id="0">
    <w:p w14:paraId="7E2F6550" w14:textId="77777777" w:rsidR="00E86A21" w:rsidRDefault="00E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AE7D" w14:textId="77777777" w:rsidR="00E86A21" w:rsidRDefault="00E86A21">
      <w:r>
        <w:separator/>
      </w:r>
    </w:p>
  </w:footnote>
  <w:footnote w:type="continuationSeparator" w:id="0">
    <w:p w14:paraId="379F3033" w14:textId="77777777" w:rsidR="00E86A21" w:rsidRDefault="00E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08907622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35F0559"/>
    <w:multiLevelType w:val="hybridMultilevel"/>
    <w:tmpl w:val="DFF699B4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056"/>
    <w:multiLevelType w:val="hybridMultilevel"/>
    <w:tmpl w:val="FF18E5CE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504"/>
    <w:multiLevelType w:val="hybridMultilevel"/>
    <w:tmpl w:val="DE10C350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367E"/>
    <w:multiLevelType w:val="hybridMultilevel"/>
    <w:tmpl w:val="92FEBDF8"/>
    <w:lvl w:ilvl="0" w:tplc="81D07B2E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88116795">
    <w:abstractNumId w:val="1"/>
  </w:num>
  <w:num w:numId="2" w16cid:durableId="679501512">
    <w:abstractNumId w:val="4"/>
  </w:num>
  <w:num w:numId="3" w16cid:durableId="683215070">
    <w:abstractNumId w:val="0"/>
  </w:num>
  <w:num w:numId="4" w16cid:durableId="1305499708">
    <w:abstractNumId w:val="3"/>
  </w:num>
  <w:num w:numId="5" w16cid:durableId="157489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F3"/>
    <w:rsid w:val="00066979"/>
    <w:rsid w:val="000A0EEE"/>
    <w:rsid w:val="000D70FE"/>
    <w:rsid w:val="00110AB2"/>
    <w:rsid w:val="0013133B"/>
    <w:rsid w:val="00135370"/>
    <w:rsid w:val="00150013"/>
    <w:rsid w:val="001B7D31"/>
    <w:rsid w:val="001F2D08"/>
    <w:rsid w:val="0028238D"/>
    <w:rsid w:val="002E74B9"/>
    <w:rsid w:val="003034D4"/>
    <w:rsid w:val="00342B74"/>
    <w:rsid w:val="00354421"/>
    <w:rsid w:val="003657EB"/>
    <w:rsid w:val="00371D22"/>
    <w:rsid w:val="003749EB"/>
    <w:rsid w:val="00385E36"/>
    <w:rsid w:val="003B4D3F"/>
    <w:rsid w:val="003E4202"/>
    <w:rsid w:val="003E67CC"/>
    <w:rsid w:val="00433D7A"/>
    <w:rsid w:val="00452D85"/>
    <w:rsid w:val="0046028D"/>
    <w:rsid w:val="0047019C"/>
    <w:rsid w:val="004A62BE"/>
    <w:rsid w:val="004C0394"/>
    <w:rsid w:val="004C0CF3"/>
    <w:rsid w:val="004E1344"/>
    <w:rsid w:val="00503C2E"/>
    <w:rsid w:val="0053577D"/>
    <w:rsid w:val="0053639C"/>
    <w:rsid w:val="0054234B"/>
    <w:rsid w:val="00544A6A"/>
    <w:rsid w:val="005A00BB"/>
    <w:rsid w:val="005B7D88"/>
    <w:rsid w:val="005F5621"/>
    <w:rsid w:val="006900D7"/>
    <w:rsid w:val="006A212D"/>
    <w:rsid w:val="006A681B"/>
    <w:rsid w:val="006B01C9"/>
    <w:rsid w:val="006B71D5"/>
    <w:rsid w:val="006D38C7"/>
    <w:rsid w:val="00701C3F"/>
    <w:rsid w:val="007367FF"/>
    <w:rsid w:val="007862A3"/>
    <w:rsid w:val="00794240"/>
    <w:rsid w:val="007A22DA"/>
    <w:rsid w:val="007B28B7"/>
    <w:rsid w:val="007B7040"/>
    <w:rsid w:val="007D1F89"/>
    <w:rsid w:val="007F5AD0"/>
    <w:rsid w:val="0083793B"/>
    <w:rsid w:val="00874817"/>
    <w:rsid w:val="00883662"/>
    <w:rsid w:val="008A2BC9"/>
    <w:rsid w:val="00901744"/>
    <w:rsid w:val="009352AC"/>
    <w:rsid w:val="00943D7C"/>
    <w:rsid w:val="00965230"/>
    <w:rsid w:val="009A2CB5"/>
    <w:rsid w:val="009B2169"/>
    <w:rsid w:val="009B76E2"/>
    <w:rsid w:val="009F5562"/>
    <w:rsid w:val="00A5781B"/>
    <w:rsid w:val="00A913D5"/>
    <w:rsid w:val="00AA082C"/>
    <w:rsid w:val="00AC319D"/>
    <w:rsid w:val="00AE5295"/>
    <w:rsid w:val="00B06321"/>
    <w:rsid w:val="00B32C28"/>
    <w:rsid w:val="00B86727"/>
    <w:rsid w:val="00BA1DD3"/>
    <w:rsid w:val="00C03D1A"/>
    <w:rsid w:val="00C05921"/>
    <w:rsid w:val="00C57270"/>
    <w:rsid w:val="00C83136"/>
    <w:rsid w:val="00CC6BF4"/>
    <w:rsid w:val="00CD2C6E"/>
    <w:rsid w:val="00CD5049"/>
    <w:rsid w:val="00D302B7"/>
    <w:rsid w:val="00D54E23"/>
    <w:rsid w:val="00D84B94"/>
    <w:rsid w:val="00DA067D"/>
    <w:rsid w:val="00DD508A"/>
    <w:rsid w:val="00DE69BF"/>
    <w:rsid w:val="00E112E9"/>
    <w:rsid w:val="00E37004"/>
    <w:rsid w:val="00E86A21"/>
    <w:rsid w:val="00E90579"/>
    <w:rsid w:val="00EA525E"/>
    <w:rsid w:val="00EA7F11"/>
    <w:rsid w:val="00EE22BA"/>
    <w:rsid w:val="00EF08BB"/>
    <w:rsid w:val="00F637B8"/>
    <w:rsid w:val="00F7014B"/>
    <w:rsid w:val="00F81C39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04BDDA69"/>
  <w15:docId w15:val="{A0C1BDCF-BFE2-4177-AE4A-28040B0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421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354421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1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7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C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70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7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7040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7040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FC9A-4A7D-499B-ADCC-0D7FA9BA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5476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South Canterbury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Cordell-Smith</dc:creator>
  <cp:lastModifiedBy>Catherine Robertson</cp:lastModifiedBy>
  <cp:revision>2</cp:revision>
  <cp:lastPrinted>2016-01-25T01:49:00Z</cp:lastPrinted>
  <dcterms:created xsi:type="dcterms:W3CDTF">2025-05-12T20:07:00Z</dcterms:created>
  <dcterms:modified xsi:type="dcterms:W3CDTF">2025-05-12T20:07:00Z</dcterms:modified>
</cp:coreProperties>
</file>